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4F" w:rsidRPr="000F6FBF" w:rsidRDefault="00A41C4F" w:rsidP="00A41C4F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6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A41C4F" w:rsidRPr="000F6FBF" w:rsidRDefault="00A41C4F" w:rsidP="00A41C4F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Pr="004A6EC3" w:rsidRDefault="00A41C4F" w:rsidP="00A4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Default="00A41C4F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12A8" w:rsidRDefault="002112A8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2B2F2A" wp14:editId="49BD2C2F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4" w:rsidRPr="002112A8" w:rsidRDefault="00971BA4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971BA4" w:rsidRPr="002112A8" w:rsidRDefault="00971BA4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12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FBF" w:rsidRPr="002112A8" w:rsidRDefault="000F6FBF" w:rsidP="000F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-п</w:t>
      </w:r>
    </w:p>
    <w:p w:rsidR="00971BA4" w:rsidRPr="002112A8" w:rsidRDefault="000F6FBF" w:rsidP="003A4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28.08.2019 № 431-п</w:t>
      </w:r>
      <w:r w:rsidR="002112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hAnsi="Times New Roman" w:cs="Times New Roman"/>
          <w:b/>
          <w:sz w:val="28"/>
          <w:szCs w:val="28"/>
        </w:rPr>
        <w:t>20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-202</w:t>
      </w:r>
      <w:r w:rsidR="00E83033">
        <w:rPr>
          <w:rFonts w:ascii="Times New Roman" w:hAnsi="Times New Roman" w:cs="Times New Roman"/>
          <w:b/>
          <w:sz w:val="28"/>
          <w:szCs w:val="28"/>
        </w:rPr>
        <w:t>2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bookmarkEnd w:id="0"/>
    <w:p w:rsidR="00971BA4" w:rsidRPr="002112A8" w:rsidRDefault="00971BA4" w:rsidP="002112A8">
      <w:pPr>
        <w:jc w:val="both"/>
        <w:rPr>
          <w:rFonts w:ascii="Times New Roman" w:hAnsi="Times New Roman" w:cs="Times New Roman"/>
          <w:sz w:val="28"/>
          <w:szCs w:val="28"/>
        </w:rPr>
      </w:pPr>
      <w:r w:rsidRPr="002112A8">
        <w:rPr>
          <w:rFonts w:ascii="Times New Roman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="002112A8">
        <w:rPr>
          <w:rFonts w:ascii="Times New Roman" w:hAnsi="Times New Roman" w:cs="Times New Roman"/>
          <w:sz w:val="28"/>
          <w:szCs w:val="28"/>
        </w:rPr>
        <w:t xml:space="preserve"> </w:t>
      </w:r>
      <w:r w:rsidRPr="002112A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211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AA4" w:rsidRPr="000F6FBF" w:rsidRDefault="00971BA4" w:rsidP="000F6F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C4F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FBF" w:rsidRPr="00A41C4F">
        <w:rPr>
          <w:rFonts w:ascii="Times New Roman" w:hAnsi="Times New Roman" w:cs="Times New Roman"/>
          <w:sz w:val="28"/>
          <w:szCs w:val="28"/>
        </w:rPr>
        <w:t xml:space="preserve">  </w:t>
      </w:r>
      <w:r w:rsidRPr="00A41C4F">
        <w:rPr>
          <w:rFonts w:ascii="Times New Roman" w:hAnsi="Times New Roman" w:cs="Times New Roman"/>
          <w:sz w:val="28"/>
          <w:szCs w:val="28"/>
        </w:rPr>
        <w:t xml:space="preserve"> </w:t>
      </w:r>
      <w:r w:rsidR="003A4AA4" w:rsidRPr="00A41C4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3A4AA4" w:rsidRPr="003A4AA4">
        <w:rPr>
          <w:spacing w:val="-1"/>
          <w:sz w:val="28"/>
          <w:szCs w:val="28"/>
        </w:rPr>
        <w:t xml:space="preserve"> 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Внести в постановление администрации Приволжского </w:t>
      </w:r>
      <w:r w:rsidR="000F6FBF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 района от 28.08.2019 № 431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-п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«Об утверждении муниципальной программы Приволжского муниципального района «</w:t>
      </w:r>
      <w:r w:rsidR="000F6FBF" w:rsidRPr="000F6FBF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Приволжско</w:t>
      </w:r>
      <w:r w:rsidR="000F6FBF">
        <w:rPr>
          <w:rFonts w:ascii="Times New Roman" w:hAnsi="Times New Roman" w:cs="Times New Roman"/>
          <w:sz w:val="28"/>
          <w:szCs w:val="28"/>
        </w:rPr>
        <w:t>го муниципального района на 2020-2022</w:t>
      </w:r>
      <w:r w:rsidR="000F6FBF" w:rsidRPr="000F6FBF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0F6FBF" w:rsidRPr="000F6FBF">
        <w:rPr>
          <w:rFonts w:ascii="Times New Roman" w:hAnsi="Times New Roman" w:cs="Times New Roman"/>
          <w:sz w:val="28"/>
          <w:szCs w:val="28"/>
        </w:rPr>
        <w:t>»</w:t>
      </w:r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(</w:t>
      </w:r>
      <w:proofErr w:type="gramEnd"/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 xml:space="preserve">далее – </w:t>
      </w:r>
      <w:r w:rsidR="001C346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П</w:t>
      </w:r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остановление) следующие изменения:</w:t>
      </w:r>
    </w:p>
    <w:p w:rsidR="000F6FBF" w:rsidRPr="000F6FBF" w:rsidRDefault="003A4AA4" w:rsidP="000F6FBF">
      <w:pPr>
        <w:tabs>
          <w:tab w:val="left" w:pos="709"/>
          <w:tab w:val="left" w:pos="851"/>
          <w:tab w:val="left" w:pos="993"/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>2.</w:t>
      </w:r>
      <w:r w:rsidR="00A41C4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остановлению «Муниципальная программа Приволжского муниципального района «Комплексное развитие транспортной инфраструктуры Приволжского муниципального района</w:t>
      </w:r>
      <w:r w:rsid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2020-2022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3A4AA4" w:rsidRPr="003A4AA4" w:rsidRDefault="003A4AA4" w:rsidP="003A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 Разместить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3A4AA4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3A4AA4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A4AA4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3A4AA4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731344" w:rsidRPr="003A4AA4" w:rsidRDefault="003A4AA4" w:rsidP="0073134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ab/>
        <w:t>4. Контроль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3A4AA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3A4AA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3A4AA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3A4AA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="00731344"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>В.Г.</w:t>
      </w:r>
    </w:p>
    <w:p w:rsidR="00731344" w:rsidRDefault="003A4AA4" w:rsidP="003A4AA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4AA4">
        <w:rPr>
          <w:rFonts w:ascii="Times New Roman" w:eastAsia="Calibri" w:hAnsi="Times New Roman" w:cs="Times New Roman"/>
          <w:sz w:val="28"/>
          <w:szCs w:val="28"/>
        </w:rPr>
        <w:t>Нагацкого</w:t>
      </w:r>
      <w:proofErr w:type="spellEnd"/>
      <w:r w:rsidR="00731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D79" w:rsidRDefault="003A4AA4" w:rsidP="000F6FB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</w:t>
      </w:r>
      <w:r w:rsidRPr="003A4AA4">
        <w:rPr>
          <w:rFonts w:ascii="Calibri" w:eastAsia="Calibri" w:hAnsi="Calibri" w:cs="Times New Roman"/>
          <w:spacing w:val="-1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Настоящее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остановление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вступает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>силу</w:t>
      </w:r>
      <w:r w:rsidR="000F6FBF" w:rsidRPr="002112A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>с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3A4AA4" w:rsidRDefault="003A4AA4" w:rsidP="003A4AA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FBF" w:rsidRPr="00591164" w:rsidRDefault="00971BA4" w:rsidP="00591164">
      <w:pPr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  <w:r w:rsidR="002112A8" w:rsidRPr="002112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20E9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2112A8">
        <w:rPr>
          <w:rFonts w:ascii="Times New Roman" w:hAnsi="Times New Roman" w:cs="Times New Roman"/>
          <w:b/>
          <w:sz w:val="28"/>
          <w:szCs w:val="28"/>
        </w:rPr>
        <w:t>И.В.Мельников</w:t>
      </w:r>
      <w:r w:rsidR="0059116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4A6EC3" w:rsidRPr="004A6EC3" w:rsidRDefault="004A6EC3" w:rsidP="004A6EC3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Приложени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к постановлению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r w:rsidR="00835B5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_________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№ </w:t>
      </w:r>
      <w:r w:rsidR="00835B5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_____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4A6EC3" w:rsidRPr="004A6EC3" w:rsidRDefault="004A6EC3" w:rsidP="004A6EC3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994E8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 и срок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годы»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Куратор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</w:t>
            </w:r>
            <w:r w:rsidR="003A4AA4" w:rsidRP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администратора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rPr>
          <w:trHeight w:val="91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AB" w:rsidRPr="004A6EC3" w:rsidRDefault="004A6EC3" w:rsidP="00A6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9452D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ь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) </w:t>
            </w:r>
            <w:r w:rsidR="006746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 являющихся местами концентрации дорожно-транспортных происшествий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3. Сокращение количества дорожно-транспортных  происшествий                                  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5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  в разрезе источников финансирования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92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1689"/>
              <w:gridCol w:w="1620"/>
              <w:gridCol w:w="1699"/>
            </w:tblGrid>
            <w:tr w:rsidR="004A6EC3" w:rsidRPr="004A6EC3" w:rsidTr="004A6EC3">
              <w:trPr>
                <w:trHeight w:val="405"/>
              </w:trPr>
              <w:tc>
                <w:tcPr>
                  <w:tcW w:w="2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5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4A6EC3" w:rsidRPr="004A6EC3" w:rsidTr="004A6EC3">
              <w:trPr>
                <w:trHeight w:val="885"/>
              </w:trPr>
              <w:tc>
                <w:tcPr>
                  <w:tcW w:w="2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672A70" w:rsidRPr="004A6EC3" w:rsidTr="004A6EC3">
              <w:trPr>
                <w:trHeight w:val="553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Программа «Комплексное развитие транспортной инфраструктуры Приволжского муниципального района на 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годы»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591164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10203062,98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672A70" w:rsidRPr="004A6EC3" w:rsidTr="004A6EC3"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</w:t>
                  </w:r>
                  <w:r w:rsidR="0059116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432825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,64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4A6EC3" w:rsidRPr="004A6EC3" w:rsidTr="004A6EC3">
              <w:trPr>
                <w:trHeight w:val="66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3770237,34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</w:t>
                  </w:r>
                  <w:r w:rsidR="001C346F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-202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годы» (далее Программа) направлена на улучшение условий проживания на территории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дорог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Рост интенсивности движения на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дорогах привел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 возрастанию изнашивающего и разрушающего воздействия автомобилей на дорожно-транспортное полотно, следствием чего явилось увеличение потребности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бюджета 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              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               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1418"/>
        <w:gridCol w:w="1417"/>
        <w:gridCol w:w="1276"/>
      </w:tblGrid>
      <w:tr w:rsidR="004A6EC3" w:rsidRPr="004A6EC3" w:rsidTr="004A6EC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Ед.изм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4A6EC3" w:rsidRPr="004A6EC3" w:rsidTr="004A6EC3">
        <w:trPr>
          <w:trHeight w:val="47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программный  метод.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4A6EC3" w:rsidRPr="004A6EC3" w:rsidRDefault="004A6EC3" w:rsidP="004A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156,552</w:t>
      </w:r>
      <w:r w:rsid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2A0362" w:rsidP="004A6EC3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отвечает нормативным требованиям значительная часть дорожного покрытия;</w:t>
      </w:r>
    </w:p>
    <w:p w:rsidR="004A6EC3" w:rsidRPr="004A6EC3" w:rsidRDefault="002A0362" w:rsidP="004A6EC3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отмечено превышение межремонтных сроков в отношении автодорожной сети.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Основным фактором, сдерживающим проведение ремонтных работ, является дефицит средств, выделяемых на эти цели.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5470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составила 4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,0 км (54%).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FA130E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014F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261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B014F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72278,57</w:t>
            </w:r>
          </w:p>
        </w:tc>
      </w:tr>
      <w:tr w:rsidR="00F25688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5296743,55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ых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услуг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«Зимнее содержание дорог»</w:t>
      </w:r>
      <w:r w:rsidR="00672A7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«Летнее содержание дорог»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уход за дорожными сооружениями, элементами обустройства дорог, организации и безопасности движения. Также в содержание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включить устранение незначительных разрушений, деформаций и повреждений конструктивных элементов дорог и сооружений на них. Кроме того,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в части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организации функционирования автомобильных дорог общего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пользования,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672A70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4A6EC3" w:rsidRPr="004A6EC3" w:rsidRDefault="00672A70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беспечение охраны жизни и здоровья граждан и их имущества путем создания безопасных условий движения на дорожной сети района,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повышение качества и технической оснащенности выполняемых работ по ремонту и содержанию дорог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окращение количества дорожно-транспортных происшествий;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редупреждение опасного поведения участников дорожного движения;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оздание комфортных условий проживания граждан.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4A6EC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4A6EC3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Повышение доступности территорий района и транспортных услуг для населения и хозяйствующих субъектов.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Программа реализуется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управлением жилищно-коммунального хозяйства района администрации Приволжского муниципального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котор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несет ответственность за решение задач путем реализации Программы и за обеспечение утвержденных значений показателей.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контроль за реализацией Программы осуществляется 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Первым заместителем 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лав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ы администрации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19452D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соответстви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действием Федерального закона от 05.0</w:t>
      </w:r>
      <w:r w:rsidR="001C346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.2013 № 44-ФЗ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lastRenderedPageBreak/>
        <w:t>1.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9F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4D1DE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Сведения о целевых индикаторах (показателях) реализации Программы.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16"/>
          <w:szCs w:val="16"/>
          <w:lang w:eastAsia="zh-C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77"/>
        <w:gridCol w:w="850"/>
        <w:gridCol w:w="1276"/>
        <w:gridCol w:w="1276"/>
        <w:gridCol w:w="1134"/>
      </w:tblGrid>
      <w:tr w:rsidR="004A6EC3" w:rsidRPr="004A6EC3" w:rsidTr="004F1EAF">
        <w:trPr>
          <w:cantSplit/>
          <w:tblHeader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487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9F78C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4F1EAF">
        <w:trPr>
          <w:cantSplit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7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4A6EC3" w:rsidRPr="004A6EC3" w:rsidTr="004F1EAF">
        <w:trPr>
          <w:cantSplit/>
          <w:trHeight w:val="300"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77" w:type="dxa"/>
          </w:tcPr>
          <w:p w:rsidR="0019452D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276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134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  <w:tr w:rsidR="0019452D" w:rsidRPr="004A6EC3" w:rsidTr="004F1EAF">
        <w:trPr>
          <w:cantSplit/>
          <w:trHeight w:val="330"/>
        </w:trPr>
        <w:tc>
          <w:tcPr>
            <w:tcW w:w="567" w:type="dxa"/>
          </w:tcPr>
          <w:p w:rsidR="0019452D" w:rsidRPr="0019452D" w:rsidRDefault="0019452D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877" w:type="dxa"/>
          </w:tcPr>
          <w:p w:rsidR="0019452D" w:rsidRPr="0071268C" w:rsidRDefault="0071268C" w:rsidP="004F1EAF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</w:tcPr>
          <w:p w:rsidR="0019452D" w:rsidRPr="0019452D" w:rsidRDefault="0019452D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276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1276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</w:t>
            </w:r>
          </w:p>
        </w:tc>
        <w:tc>
          <w:tcPr>
            <w:tcW w:w="1134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-202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годы планируется решить следующие основные задачи: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1. Развитие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Ликвидация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профилактика возникновения опасных участков улично-дорожной сети, являющихся местами концентрации дорожно-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  </w:t>
      </w:r>
    </w:p>
    <w:p w:rsidR="0013352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</w:t>
      </w:r>
      <w:r w:rsidR="00692F7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4A6EC3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9B2EE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AB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Программа «Комплексное развитие транспортной инфраструктуры Приволжского муниципального района на                    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69339A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10203062,98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</w:t>
            </w:r>
            <w:r w:rsidR="0069339A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432825,64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3770237,34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  <w:tr w:rsidR="00C60C08" w:rsidRPr="004A6EC3" w:rsidTr="00FA1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08" w:rsidRPr="004A6EC3" w:rsidRDefault="0069339A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10203062,98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69339A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6432825,64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3770237,34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  <w:r w:rsidR="001C346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197AC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="009B2EE7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на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2F73" w:rsidRDefault="00692F7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Pr="004A6EC3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Приложение 1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4A6E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4A6EC3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-202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4A6EC3" w:rsidRPr="004A6EC3" w:rsidRDefault="004A6EC3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4A6EC3" w:rsidRPr="004A6EC3" w:rsidRDefault="009B2EE7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D1DEF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)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D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Сокращени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е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количества 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рожно-транспортных происшествий                                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3679"/>
        </w:trPr>
        <w:tc>
          <w:tcPr>
            <w:tcW w:w="2211" w:type="dxa"/>
          </w:tcPr>
          <w:p w:rsidR="004A6EC3" w:rsidRPr="004A6EC3" w:rsidRDefault="004A6EC3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Объ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мы ресурсного обеспечения подпрограммы по годам е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4A6EC3" w:rsidRPr="004A6EC3" w:rsidTr="004A6EC3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4A6EC3" w:rsidRPr="004A6EC3" w:rsidTr="004A6EC3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9B2EE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C60C08" w:rsidRPr="004A6EC3" w:rsidTr="0097547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4A6EC3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0C08" w:rsidRPr="004A6EC3" w:rsidRDefault="0069339A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10203062,98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C60C08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057453" w:rsidRDefault="0069339A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6432825,64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05745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C60C08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3770237,34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</w:t>
                  </w:r>
                  <w:r w:rsidR="001C346F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5D544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t xml:space="preserve">        </w:t>
      </w:r>
    </w:p>
    <w:p w:rsidR="004A6EC3" w:rsidRPr="004A6EC3" w:rsidRDefault="004A6EC3" w:rsidP="004A6EC3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 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156,552</w:t>
      </w:r>
      <w:r w:rsidR="00ED471B"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 Текущее техническое состояние автодорожной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4A6EC3" w:rsidRPr="004A6EC3" w:rsidRDefault="004A6EC3" w:rsidP="004D1DEF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процента разрушения а/бетонного покрытия существующих</w:t>
      </w:r>
      <w:r w:rsidR="004D1D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автомобильных дорог по сравнению с проводимыми работами по ремонту, реконструкции и их капитальному ремонту;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591584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r w:rsidRPr="00C56AD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C56ADB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В 2019 г. проведен ремонт 5470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2019 г. составила 49,0 км (54%).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Pr="004A6EC3" w:rsidRDefault="00591584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953937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Общая протяженность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156,552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907B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</w:tr>
      <w:tr w:rsidR="00FF2FF6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25688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28800</w:t>
            </w:r>
            <w:r w:rsidR="00FF2FF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5296743,55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CB" w:rsidRPr="00F726CB" w:rsidRDefault="00F726CB" w:rsidP="00F726C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F726CB" w:rsidRPr="00F726CB" w:rsidRDefault="00F726CB" w:rsidP="00F726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1010" w:type="dxa"/>
        <w:tblCellSpacing w:w="1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7"/>
        <w:gridCol w:w="5092"/>
        <w:gridCol w:w="849"/>
        <w:gridCol w:w="1039"/>
        <w:gridCol w:w="96"/>
        <w:gridCol w:w="170"/>
        <w:gridCol w:w="257"/>
        <w:gridCol w:w="481"/>
        <w:gridCol w:w="505"/>
        <w:gridCol w:w="759"/>
        <w:gridCol w:w="925"/>
      </w:tblGrid>
      <w:tr w:rsidR="00F726CB" w:rsidRPr="00F726CB" w:rsidTr="00F726CB">
        <w:trPr>
          <w:trHeight w:val="15"/>
          <w:tblCellSpacing w:w="15" w:type="dxa"/>
        </w:trPr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регионального (межмуниципального) и местного значения на территории Ивановской области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Ивановской области, соответствующих нормативным требованиям к транспортно-эксплуатационным показателям, в результате капитального 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и ремонта автомобильных дорог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бюджетных ассигнований муниципальных дорожных фондов (без учета средств областного бюджета) необходимые финансовые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1C346F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6180,92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</w:t>
            </w:r>
            <w:r w:rsidR="001C346F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031,88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294,97</w:t>
            </w:r>
          </w:p>
        </w:tc>
      </w:tr>
    </w:tbl>
    <w:p w:rsidR="00F726CB" w:rsidRDefault="00F726CB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Pr="00F726CB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работы транспорта общего пользования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4A6EC3" w:rsidRPr="004A6EC3" w:rsidRDefault="004A6EC3" w:rsidP="004A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4A6EC3" w:rsidRPr="004A6EC3" w:rsidTr="004A6EC3">
        <w:trPr>
          <w:cantSplit/>
          <w:trHeight w:val="899"/>
        </w:trPr>
        <w:tc>
          <w:tcPr>
            <w:tcW w:w="85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маршрута (км)</w:t>
            </w:r>
          </w:p>
        </w:tc>
      </w:tr>
      <w:tr w:rsidR="004A6EC3" w:rsidRPr="004A6EC3" w:rsidTr="004A6EC3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д.Филисово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«Ленок»,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(автостанция),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д.Левашиха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д.Горшково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м.Пеньки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с.Пеньки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ул.Шагова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ул.Волгореченская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д.Рогачево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д.Барашово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д.Данилково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д.Стафилово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Покровское,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д.Бродки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с.Горки-Чириковы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д.Парушево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с.Еропкино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д.Режево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д.Антоново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д.Неданки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д.Аненское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д.Поседово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с.Рождествено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д.Грязки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д.Васильчинино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статистическим данным автобусами по маршрутам регулярных перевозок выполнено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2019 году-5840 рейсов, в</w:t>
      </w:r>
      <w:r w:rsidR="006933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квартале 2020 года-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6F"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</w:t>
      </w:r>
      <w:r w:rsidR="004D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C3" w:rsidRPr="004A6EC3" w:rsidRDefault="004A6EC3" w:rsidP="004A6E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</w:t>
      </w:r>
      <w:r w:rsidR="00F726C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726CB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lastRenderedPageBreak/>
        <w:t>Основные цели и задачи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 являющихся местами концентрации дорожно-транспортных происшествий.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3. Сокращение количества дорожно-транспортных  происшествий.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1C346F" w:rsidRPr="001C346F" w:rsidRDefault="001C346F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4. </w:t>
      </w:r>
      <w:r w:rsidR="005B2A9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Проверка проектно-сметной документации в государственной экспертизе.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и государственной экспертизы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проводится за счет бюджетных ассигнований бюджета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выполнения мероприятия –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годы. </w:t>
      </w:r>
    </w:p>
    <w:p w:rsidR="0083191A" w:rsidRPr="000864C8" w:rsidRDefault="0083191A" w:rsidP="008319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управление жилищно-коммунального хозяйства района администрации Приволжского муниципального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(руб.)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953937" w:rsidRPr="004A6EC3" w:rsidTr="00FA130E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E93620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10203062,98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</w:tr>
      <w:tr w:rsidR="00FF2FF6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28800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B72227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5296743,55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4566951,76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5051094,05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-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районный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10B9F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1526506,21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944085,26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1207171,29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B72227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3770237,34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Примечание к таблице: 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A640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4A6EC3" w:rsidRP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9339A" w:rsidRDefault="0069339A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Pr="004A6EC3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 xml:space="preserve">Таблица 5. </w:t>
      </w:r>
      <w:r w:rsidR="0043271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Ремонт автомобильных дорог Приволжского муниципального района в 20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годы.</w:t>
      </w:r>
    </w:p>
    <w:tbl>
      <w:tblPr>
        <w:tblpPr w:leftFromText="180" w:rightFromText="180" w:vertAnchor="page" w:horzAnchor="margin" w:tblpY="19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6"/>
        <w:gridCol w:w="1401"/>
        <w:gridCol w:w="1701"/>
        <w:gridCol w:w="1843"/>
      </w:tblGrid>
      <w:tr w:rsidR="004A6EC3" w:rsidRPr="004A6EC3" w:rsidTr="004A6EC3">
        <w:trPr>
          <w:trHeight w:val="704"/>
        </w:trPr>
        <w:tc>
          <w:tcPr>
            <w:tcW w:w="4928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gridSpan w:val="2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Площадь ремонта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4A6EC3" w:rsidRPr="004A6EC3" w:rsidTr="004A6EC3">
        <w:trPr>
          <w:trHeight w:val="217"/>
        </w:trPr>
        <w:tc>
          <w:tcPr>
            <w:tcW w:w="9889" w:type="dxa"/>
            <w:gridSpan w:val="5"/>
            <w:vAlign w:val="center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4A6EC3" w:rsidRPr="004A6EC3" w:rsidTr="004A6EC3">
        <w:trPr>
          <w:trHeight w:val="21"/>
        </w:trPr>
        <w:tc>
          <w:tcPr>
            <w:tcW w:w="4928" w:type="dxa"/>
          </w:tcPr>
          <w:p w:rsidR="003B346E" w:rsidRDefault="003B346E" w:rsidP="003B34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4A6EC3" w:rsidRPr="004A6EC3" w:rsidRDefault="0069339A" w:rsidP="003B34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</w:t>
            </w:r>
            <w:r w:rsidR="00CE618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Кунестино</w:t>
            </w:r>
          </w:p>
        </w:tc>
        <w:tc>
          <w:tcPr>
            <w:tcW w:w="1417" w:type="dxa"/>
            <w:gridSpan w:val="2"/>
          </w:tcPr>
          <w:p w:rsidR="004A6EC3" w:rsidRPr="004A6EC3" w:rsidRDefault="0069339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3206,2</w:t>
            </w:r>
          </w:p>
        </w:tc>
        <w:tc>
          <w:tcPr>
            <w:tcW w:w="1701" w:type="dxa"/>
          </w:tcPr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2885604,55</w:t>
            </w:r>
          </w:p>
        </w:tc>
        <w:tc>
          <w:tcPr>
            <w:tcW w:w="1843" w:type="dxa"/>
          </w:tcPr>
          <w:p w:rsidR="004A6EC3" w:rsidRPr="004A6EC3" w:rsidRDefault="00410B9F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4A6EC3" w:rsidRPr="004A6EC3" w:rsidTr="007A1E88">
        <w:trPr>
          <w:trHeight w:val="798"/>
        </w:trPr>
        <w:tc>
          <w:tcPr>
            <w:tcW w:w="4928" w:type="dxa"/>
          </w:tcPr>
          <w:p w:rsidR="00AD6AE2" w:rsidRDefault="007A1E88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701" w:type="dxa"/>
          </w:tcPr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1004859,56</w:t>
            </w:r>
          </w:p>
        </w:tc>
        <w:tc>
          <w:tcPr>
            <w:tcW w:w="1843" w:type="dxa"/>
          </w:tcPr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AD6AE2" w:rsidRPr="004A6EC3" w:rsidTr="004A6EC3">
        <w:trPr>
          <w:trHeight w:val="422"/>
        </w:trPr>
        <w:tc>
          <w:tcPr>
            <w:tcW w:w="9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Дороги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подсыпка ПГС)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  <w:proofErr w:type="spellStart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ул.Суворова</w:t>
            </w:r>
            <w:proofErr w:type="spellEnd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д.Сараево</w:t>
            </w:r>
            <w:proofErr w:type="spellEnd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Приволжского района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417" w:type="dxa"/>
            <w:gridSpan w:val="2"/>
          </w:tcPr>
          <w:p w:rsidR="00AD6AE2" w:rsidRPr="004A6EC3" w:rsidRDefault="00EC7DD0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2835,25</w:t>
            </w:r>
          </w:p>
        </w:tc>
        <w:tc>
          <w:tcPr>
            <w:tcW w:w="1701" w:type="dxa"/>
          </w:tcPr>
          <w:p w:rsidR="00AD6AE2" w:rsidRPr="004A6EC3" w:rsidRDefault="00EC7DD0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1265705,22</w:t>
            </w:r>
          </w:p>
        </w:tc>
        <w:tc>
          <w:tcPr>
            <w:tcW w:w="1843" w:type="dxa"/>
          </w:tcPr>
          <w:p w:rsidR="00AD6AE2" w:rsidRPr="004A6EC3" w:rsidRDefault="00EC7DD0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CE6184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д.Парушево</w:t>
            </w:r>
            <w:proofErr w:type="spellEnd"/>
          </w:p>
        </w:tc>
        <w:tc>
          <w:tcPr>
            <w:tcW w:w="1417" w:type="dxa"/>
            <w:gridSpan w:val="2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2392,9</w:t>
            </w:r>
          </w:p>
        </w:tc>
        <w:tc>
          <w:tcPr>
            <w:tcW w:w="1701" w:type="dxa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972174,98</w:t>
            </w:r>
          </w:p>
        </w:tc>
        <w:tc>
          <w:tcPr>
            <w:tcW w:w="1843" w:type="dxa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Стафилово</w:t>
            </w:r>
            <w:proofErr w:type="spellEnd"/>
          </w:p>
        </w:tc>
        <w:tc>
          <w:tcPr>
            <w:tcW w:w="1417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753408,07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Ямочный ремонт дорог Приволжского муниципального района</w:t>
            </w:r>
          </w:p>
        </w:tc>
        <w:tc>
          <w:tcPr>
            <w:tcW w:w="1417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184,8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110891,36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4A6EC3">
        <w:trPr>
          <w:trHeight w:val="21"/>
        </w:trPr>
        <w:tc>
          <w:tcPr>
            <w:tcW w:w="9889" w:type="dxa"/>
            <w:gridSpan w:val="5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Содержание автомобильных дорог в Приволжском муниципальном районе</w:t>
            </w:r>
          </w:p>
        </w:tc>
      </w:tr>
      <w:tr w:rsidR="00CE6184" w:rsidRPr="004A6EC3" w:rsidTr="006F49D0">
        <w:trPr>
          <w:trHeight w:val="21"/>
        </w:trPr>
        <w:tc>
          <w:tcPr>
            <w:tcW w:w="4944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945" w:type="dxa"/>
            <w:gridSpan w:val="3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CE6184" w:rsidRPr="004A6EC3" w:rsidTr="006F49D0">
        <w:trPr>
          <w:trHeight w:val="21"/>
        </w:trPr>
        <w:tc>
          <w:tcPr>
            <w:tcW w:w="4944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3813543,69</w:t>
            </w:r>
          </w:p>
        </w:tc>
        <w:tc>
          <w:tcPr>
            <w:tcW w:w="4945" w:type="dxa"/>
            <w:gridSpan w:val="3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</w:tr>
      <w:tr w:rsidR="00CE6184" w:rsidRPr="004A6EC3" w:rsidTr="004A6EC3">
        <w:trPr>
          <w:trHeight w:val="21"/>
        </w:trPr>
        <w:tc>
          <w:tcPr>
            <w:tcW w:w="9889" w:type="dxa"/>
            <w:gridSpan w:val="5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62367,44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CE6184" w:rsidRPr="004A6EC3" w:rsidTr="005B2A93">
        <w:trPr>
          <w:trHeight w:val="21"/>
        </w:trPr>
        <w:tc>
          <w:tcPr>
            <w:tcW w:w="9889" w:type="dxa"/>
            <w:gridSpan w:val="5"/>
          </w:tcPr>
          <w:p w:rsidR="00CE6184" w:rsidRPr="00D1729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D1729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28800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</w:tbl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F4703" w:rsidRPr="004A6EC3" w:rsidRDefault="006F470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реализация 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 В ходе реализации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могут вноситься изменения и дополнения. Информация по объемам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областного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бюджетов. Общий объем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имеет справочный (прогнозный) характер.   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lastRenderedPageBreak/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автомобильных дорог.</w:t>
      </w:r>
    </w:p>
    <w:p w:rsidR="00A9619A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 подпрограммы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019"/>
        <w:gridCol w:w="850"/>
        <w:gridCol w:w="1134"/>
        <w:gridCol w:w="1276"/>
        <w:gridCol w:w="1134"/>
      </w:tblGrid>
      <w:tr w:rsidR="004A6EC3" w:rsidRPr="004A6EC3" w:rsidTr="006F4703">
        <w:trPr>
          <w:cantSplit/>
          <w:tblHeader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6F470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6F4703">
        <w:trPr>
          <w:cantSplit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4A6EC3" w:rsidRPr="004A6EC3" w:rsidTr="006F4703">
        <w:trPr>
          <w:cantSplit/>
          <w:trHeight w:val="481"/>
        </w:trPr>
        <w:tc>
          <w:tcPr>
            <w:tcW w:w="567" w:type="dxa"/>
          </w:tcPr>
          <w:p w:rsidR="004A6EC3" w:rsidRPr="00FC07B2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="00FC07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улично-дорожной сети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134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  <w:tr w:rsidR="002A0362" w:rsidRPr="004A6EC3" w:rsidTr="006F4703">
        <w:trPr>
          <w:cantSplit/>
          <w:trHeight w:val="481"/>
        </w:trPr>
        <w:tc>
          <w:tcPr>
            <w:tcW w:w="567" w:type="dxa"/>
          </w:tcPr>
          <w:p w:rsidR="002A0362" w:rsidRPr="00FC07B2" w:rsidRDefault="00FC07B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019" w:type="dxa"/>
          </w:tcPr>
          <w:p w:rsidR="002A0362" w:rsidRPr="004A6EC3" w:rsidRDefault="002A036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</w:tcPr>
          <w:p w:rsidR="002A0362" w:rsidRPr="004A6EC3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1276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</w:t>
            </w:r>
          </w:p>
        </w:tc>
        <w:tc>
          <w:tcPr>
            <w:tcW w:w="1134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A0362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  </w:t>
      </w:r>
    </w:p>
    <w:sectPr w:rsidR="002A0362" w:rsidSect="00FA1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1"/>
  </w:num>
  <w:num w:numId="5">
    <w:abstractNumId w:val="19"/>
  </w:num>
  <w:num w:numId="6">
    <w:abstractNumId w:val="5"/>
  </w:num>
  <w:num w:numId="7">
    <w:abstractNumId w:val="13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9"/>
    <w:rsid w:val="00020E98"/>
    <w:rsid w:val="00057453"/>
    <w:rsid w:val="000A04FE"/>
    <w:rsid w:val="000F6FBF"/>
    <w:rsid w:val="00133523"/>
    <w:rsid w:val="0019452D"/>
    <w:rsid w:val="00197AC2"/>
    <w:rsid w:val="001C346F"/>
    <w:rsid w:val="002112A8"/>
    <w:rsid w:val="00227096"/>
    <w:rsid w:val="002307C4"/>
    <w:rsid w:val="00241042"/>
    <w:rsid w:val="00241215"/>
    <w:rsid w:val="0029492B"/>
    <w:rsid w:val="002A0362"/>
    <w:rsid w:val="002A584F"/>
    <w:rsid w:val="002B7F9E"/>
    <w:rsid w:val="00351431"/>
    <w:rsid w:val="003A4AA4"/>
    <w:rsid w:val="003B346E"/>
    <w:rsid w:val="00410B9F"/>
    <w:rsid w:val="0043271B"/>
    <w:rsid w:val="004431E1"/>
    <w:rsid w:val="00472E58"/>
    <w:rsid w:val="00482864"/>
    <w:rsid w:val="004907B4"/>
    <w:rsid w:val="004A6EC3"/>
    <w:rsid w:val="004D1DEF"/>
    <w:rsid w:val="004F1EAF"/>
    <w:rsid w:val="00523AD2"/>
    <w:rsid w:val="0057085C"/>
    <w:rsid w:val="00591164"/>
    <w:rsid w:val="00591584"/>
    <w:rsid w:val="00592640"/>
    <w:rsid w:val="005B2A93"/>
    <w:rsid w:val="005D5446"/>
    <w:rsid w:val="00633BB4"/>
    <w:rsid w:val="006447AC"/>
    <w:rsid w:val="00672A70"/>
    <w:rsid w:val="006746AB"/>
    <w:rsid w:val="00692F73"/>
    <w:rsid w:val="0069339A"/>
    <w:rsid w:val="006F4429"/>
    <w:rsid w:val="006F4703"/>
    <w:rsid w:val="00703AE5"/>
    <w:rsid w:val="0071268C"/>
    <w:rsid w:val="00725CDB"/>
    <w:rsid w:val="00731344"/>
    <w:rsid w:val="00774C18"/>
    <w:rsid w:val="0079060A"/>
    <w:rsid w:val="007A1E88"/>
    <w:rsid w:val="007F225C"/>
    <w:rsid w:val="0083191A"/>
    <w:rsid w:val="00835B5A"/>
    <w:rsid w:val="00944283"/>
    <w:rsid w:val="00953937"/>
    <w:rsid w:val="00971BA4"/>
    <w:rsid w:val="00975479"/>
    <w:rsid w:val="00994E85"/>
    <w:rsid w:val="009A0D79"/>
    <w:rsid w:val="009B2EE7"/>
    <w:rsid w:val="009C253B"/>
    <w:rsid w:val="009F78C6"/>
    <w:rsid w:val="00A17D6F"/>
    <w:rsid w:val="00A41C4F"/>
    <w:rsid w:val="00A640AB"/>
    <w:rsid w:val="00A9619A"/>
    <w:rsid w:val="00AB6008"/>
    <w:rsid w:val="00AB6675"/>
    <w:rsid w:val="00AD6AE2"/>
    <w:rsid w:val="00AF46E0"/>
    <w:rsid w:val="00B014F2"/>
    <w:rsid w:val="00B72227"/>
    <w:rsid w:val="00BB649C"/>
    <w:rsid w:val="00C04529"/>
    <w:rsid w:val="00C56ADB"/>
    <w:rsid w:val="00C60C08"/>
    <w:rsid w:val="00C70702"/>
    <w:rsid w:val="00C841BD"/>
    <w:rsid w:val="00CA03A3"/>
    <w:rsid w:val="00CE1424"/>
    <w:rsid w:val="00CE6184"/>
    <w:rsid w:val="00D17293"/>
    <w:rsid w:val="00D33E03"/>
    <w:rsid w:val="00D941EC"/>
    <w:rsid w:val="00E4654E"/>
    <w:rsid w:val="00E83033"/>
    <w:rsid w:val="00E93620"/>
    <w:rsid w:val="00EC7DD0"/>
    <w:rsid w:val="00ED471B"/>
    <w:rsid w:val="00F25688"/>
    <w:rsid w:val="00F36196"/>
    <w:rsid w:val="00F726CB"/>
    <w:rsid w:val="00FA130E"/>
    <w:rsid w:val="00FC07B2"/>
    <w:rsid w:val="00FF2FF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AE2D-4BAF-47B5-9FBB-56AFF35A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E. Tvelnev</cp:lastModifiedBy>
  <cp:revision>2</cp:revision>
  <cp:lastPrinted>2020-07-15T15:15:00Z</cp:lastPrinted>
  <dcterms:created xsi:type="dcterms:W3CDTF">2020-07-16T11:44:00Z</dcterms:created>
  <dcterms:modified xsi:type="dcterms:W3CDTF">2020-07-16T11:44:00Z</dcterms:modified>
</cp:coreProperties>
</file>