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9D2CCD">
        <w:t>городского</w:t>
      </w:r>
      <w:r w:rsidR="00984FCA">
        <w:t xml:space="preserve"> </w:t>
      </w:r>
      <w:r w:rsidR="009D2CCD">
        <w:t>поселения</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г.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9D2CCD" w:rsidRPr="009D2CCD">
        <w:rPr>
          <w:sz w:val="24"/>
          <w:szCs w:val="24"/>
        </w:rPr>
        <w:t>Решени</w:t>
      </w:r>
      <w:r w:rsidR="009D2CCD">
        <w:rPr>
          <w:sz w:val="24"/>
          <w:szCs w:val="24"/>
        </w:rPr>
        <w:t>е</w:t>
      </w:r>
      <w:r w:rsidR="009D2CCD" w:rsidRPr="009D2CCD">
        <w:rPr>
          <w:sz w:val="24"/>
          <w:szCs w:val="24"/>
        </w:rPr>
        <w:t xml:space="preserve"> Совета Приволжского городского поселения от 27.01.2021 №3 «</w:t>
      </w:r>
      <w:r w:rsidR="009D2CCD" w:rsidRPr="009D2CCD">
        <w:rPr>
          <w:rFonts w:eastAsia="Calibri"/>
          <w:bCs/>
          <w:sz w:val="24"/>
          <w:szCs w:val="24"/>
          <w:lang w:eastAsia="en-US"/>
        </w:rPr>
        <w:t>Об утверждении прогнозного плана приватизации муниципального имущества, находящегося в собственности Приволжского городского поселения, на 2021 год</w:t>
      </w:r>
      <w:r w:rsidR="009D2CCD" w:rsidRPr="009D2CCD">
        <w:rPr>
          <w:sz w:val="24"/>
          <w:szCs w:val="24"/>
        </w:rPr>
        <w:t>»</w:t>
      </w:r>
      <w:r w:rsidR="00DC57D4" w:rsidRPr="009D2CCD">
        <w:rPr>
          <w:sz w:val="24"/>
          <w:szCs w:val="24"/>
        </w:rPr>
        <w:t>,</w:t>
      </w:r>
      <w:r w:rsidR="00DC57D4" w:rsidRPr="00DC57D4">
        <w:rPr>
          <w:sz w:val="24"/>
          <w:szCs w:val="24"/>
        </w:rPr>
        <w:t xml:space="preserve">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302D02">
        <w:rPr>
          <w:sz w:val="24"/>
          <w:szCs w:val="24"/>
        </w:rPr>
        <w:t xml:space="preserve">от </w:t>
      </w:r>
      <w:r w:rsidR="00CB305E">
        <w:rPr>
          <w:sz w:val="24"/>
          <w:szCs w:val="24"/>
        </w:rPr>
        <w:t>16.06.</w:t>
      </w:r>
      <w:r w:rsidR="00302D02">
        <w:rPr>
          <w:sz w:val="24"/>
          <w:szCs w:val="24"/>
        </w:rPr>
        <w:t>2021</w:t>
      </w:r>
      <w:r w:rsidR="00DC57D4" w:rsidRPr="00302D02">
        <w:rPr>
          <w:sz w:val="24"/>
          <w:szCs w:val="24"/>
        </w:rPr>
        <w:t xml:space="preserve"> № </w:t>
      </w:r>
      <w:r w:rsidR="00CB305E">
        <w:rPr>
          <w:sz w:val="24"/>
          <w:szCs w:val="24"/>
        </w:rPr>
        <w:t>276</w:t>
      </w:r>
      <w:r w:rsidR="00DC57D4" w:rsidRPr="00302D02">
        <w:rPr>
          <w:sz w:val="24"/>
          <w:szCs w:val="24"/>
        </w:rPr>
        <w:t xml:space="preserve">–п «Об условиях приватизации муниципального имущества, находящегося в собственности Приволжского </w:t>
      </w:r>
      <w:r w:rsidR="00302D02" w:rsidRPr="00302D02">
        <w:rPr>
          <w:sz w:val="24"/>
          <w:szCs w:val="24"/>
        </w:rPr>
        <w:t>городского поселения</w:t>
      </w:r>
      <w:r w:rsidR="00DC57D4" w:rsidRPr="00302D02">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302D02">
        <w:rPr>
          <w:sz w:val="24"/>
          <w:szCs w:val="24"/>
        </w:rPr>
        <w:t>Приволжск</w:t>
      </w:r>
      <w:r w:rsidR="00302D02" w:rsidRPr="00302D02">
        <w:rPr>
          <w:sz w:val="24"/>
          <w:szCs w:val="24"/>
        </w:rPr>
        <w:t>ое городское поселение</w:t>
      </w:r>
      <w:r w:rsidR="00436B06" w:rsidRPr="00302D02">
        <w:rPr>
          <w:sz w:val="24"/>
          <w:szCs w:val="24"/>
        </w:rPr>
        <w:t xml:space="preserve"> </w:t>
      </w:r>
      <w:r w:rsidR="00302D02" w:rsidRPr="00302D02">
        <w:rPr>
          <w:sz w:val="24"/>
          <w:szCs w:val="24"/>
        </w:rPr>
        <w:t xml:space="preserve">Приволжского муниципального района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302D02" w:rsidRPr="00302D02">
        <w:rPr>
          <w:sz w:val="24"/>
          <w:szCs w:val="24"/>
        </w:rPr>
        <w:t>городско</w:t>
      </w:r>
      <w:r w:rsidR="00AE1CFF">
        <w:rPr>
          <w:sz w:val="24"/>
          <w:szCs w:val="24"/>
        </w:rPr>
        <w:t>го</w:t>
      </w:r>
      <w:r w:rsidR="00302D02" w:rsidRPr="00302D02">
        <w:rPr>
          <w:sz w:val="24"/>
          <w:szCs w:val="24"/>
        </w:rPr>
        <w:t xml:space="preserve"> поселения</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DF18A9" w:rsidRDefault="00F255CC" w:rsidP="00F255CC">
      <w:pPr>
        <w:pStyle w:val="Default"/>
        <w:ind w:firstLine="708"/>
        <w:jc w:val="both"/>
      </w:pPr>
      <w:r w:rsidRPr="00800EF1">
        <w:rPr>
          <w:b/>
          <w:bCs/>
        </w:rPr>
        <w:t>7. Дата начала приема заявок на участие в аукционе в электронной форме</w:t>
      </w:r>
      <w:r w:rsidR="00D46F34" w:rsidRPr="00DF18A9">
        <w:t xml:space="preserve">: </w:t>
      </w:r>
      <w:r w:rsidR="00E70573" w:rsidRPr="00DF18A9">
        <w:t>2</w:t>
      </w:r>
      <w:r w:rsidR="00A344E2" w:rsidRPr="00DF18A9">
        <w:t>1</w:t>
      </w:r>
      <w:r w:rsidR="00E70573" w:rsidRPr="00DF18A9">
        <w:t xml:space="preserve"> </w:t>
      </w:r>
      <w:r w:rsidR="00A344E2" w:rsidRPr="00DF18A9">
        <w:t>июня</w:t>
      </w:r>
      <w:r w:rsidR="00157DCF" w:rsidRPr="00DF18A9">
        <w:t xml:space="preserve"> </w:t>
      </w:r>
      <w:r w:rsidRPr="00DF18A9">
        <w:t>20</w:t>
      </w:r>
      <w:r w:rsidR="00157DCF" w:rsidRPr="00DF18A9">
        <w:t>2</w:t>
      </w:r>
      <w:r w:rsidR="00A344E2" w:rsidRPr="00DF18A9">
        <w:t>1</w:t>
      </w:r>
      <w:r w:rsidRPr="00DF18A9">
        <w:t xml:space="preserve"> года в 0</w:t>
      </w:r>
      <w:r w:rsidR="00E70573" w:rsidRPr="00DF18A9">
        <w:t>0</w:t>
      </w:r>
      <w:r w:rsidRPr="00DF18A9">
        <w:t xml:space="preserve">-00 час. </w:t>
      </w:r>
    </w:p>
    <w:p w:rsidR="00F255CC" w:rsidRPr="00DF18A9" w:rsidRDefault="00F255CC" w:rsidP="00F255CC">
      <w:pPr>
        <w:pStyle w:val="Default"/>
        <w:ind w:firstLine="708"/>
        <w:jc w:val="both"/>
      </w:pPr>
      <w:r w:rsidRPr="00DF18A9">
        <w:rPr>
          <w:b/>
          <w:bCs/>
        </w:rPr>
        <w:t xml:space="preserve">8. Дата окончания приема заявок на участие в аукционе в электронной форме: </w:t>
      </w:r>
      <w:r w:rsidR="00A344E2" w:rsidRPr="00DF18A9">
        <w:t>16</w:t>
      </w:r>
      <w:r w:rsidR="00E70573" w:rsidRPr="00DF18A9">
        <w:t xml:space="preserve"> </w:t>
      </w:r>
      <w:r w:rsidR="00A344E2" w:rsidRPr="00DF18A9">
        <w:t>ию</w:t>
      </w:r>
      <w:r w:rsidR="00AB1E1C" w:rsidRPr="00DF18A9">
        <w:t>л</w:t>
      </w:r>
      <w:r w:rsidR="00A344E2" w:rsidRPr="00DF18A9">
        <w:t>я</w:t>
      </w:r>
      <w:r w:rsidR="00157DCF" w:rsidRPr="00DF18A9">
        <w:t xml:space="preserve"> 202</w:t>
      </w:r>
      <w:r w:rsidR="00A344E2" w:rsidRPr="00DF18A9">
        <w:t>1</w:t>
      </w:r>
      <w:r w:rsidRPr="00DF18A9">
        <w:t xml:space="preserve"> года в </w:t>
      </w:r>
      <w:r w:rsidR="00E70573" w:rsidRPr="00DF18A9">
        <w:t>23</w:t>
      </w:r>
      <w:r w:rsidRPr="00DF18A9">
        <w:t>-</w:t>
      </w:r>
      <w:r w:rsidR="00E70573" w:rsidRPr="00DF18A9">
        <w:t>59</w:t>
      </w:r>
      <w:r w:rsidRPr="00DF18A9">
        <w:t xml:space="preserve"> час.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Дата определения участников аукциона в электронной форме: </w:t>
      </w:r>
      <w:r w:rsidR="00E70573" w:rsidRPr="00DF18A9">
        <w:t>2</w:t>
      </w:r>
      <w:r w:rsidR="00062DC7" w:rsidRPr="00DF18A9">
        <w:t>0</w:t>
      </w:r>
      <w:r w:rsidR="00E70573" w:rsidRPr="00DF18A9">
        <w:t xml:space="preserve"> </w:t>
      </w:r>
      <w:r w:rsidR="004F2F85" w:rsidRPr="00DF18A9">
        <w:t>ию</w:t>
      </w:r>
      <w:r w:rsidR="00AB1E1C" w:rsidRPr="00DF18A9">
        <w:t>л</w:t>
      </w:r>
      <w:r w:rsidR="00E70573" w:rsidRPr="00DF18A9">
        <w:t>я</w:t>
      </w:r>
      <w:r w:rsidRPr="00DF18A9">
        <w:t xml:space="preserve"> 20</w:t>
      </w:r>
      <w:r w:rsidR="00157DCF" w:rsidRPr="00DF18A9">
        <w:t>2</w:t>
      </w:r>
      <w:r w:rsidR="004F2F85" w:rsidRPr="00DF18A9">
        <w:t>1</w:t>
      </w:r>
      <w:r w:rsidRPr="00DF18A9">
        <w:t xml:space="preserve"> года в 10-00. </w:t>
      </w:r>
    </w:p>
    <w:p w:rsidR="00F255CC" w:rsidRPr="00800EF1" w:rsidRDefault="00F255CC" w:rsidP="00F255CC">
      <w:pPr>
        <w:pStyle w:val="Default"/>
        <w:ind w:firstLine="708"/>
        <w:jc w:val="both"/>
      </w:pPr>
      <w:r w:rsidRPr="00DF18A9">
        <w:rPr>
          <w:b/>
          <w:bCs/>
        </w:rPr>
        <w:t xml:space="preserve">11. Дата, время и место подведения итогов аукциона в электронной форме (дата проведения аукциона в электронной форме): </w:t>
      </w:r>
      <w:r w:rsidR="00E70573" w:rsidRPr="00DF18A9">
        <w:t>2</w:t>
      </w:r>
      <w:r w:rsidR="00062DC7" w:rsidRPr="00DF18A9">
        <w:t>3</w:t>
      </w:r>
      <w:r w:rsidR="00E70573" w:rsidRPr="00DF18A9">
        <w:t xml:space="preserve"> </w:t>
      </w:r>
      <w:r w:rsidR="004F2F85" w:rsidRPr="00DF18A9">
        <w:t>ию</w:t>
      </w:r>
      <w:r w:rsidR="00AB1E1C" w:rsidRPr="00DF18A9">
        <w:t>л</w:t>
      </w:r>
      <w:r w:rsidR="004F2F85" w:rsidRPr="00DF18A9">
        <w:t>я</w:t>
      </w:r>
      <w:r w:rsidR="00E70573" w:rsidRPr="00DF18A9">
        <w:t xml:space="preserve"> </w:t>
      </w:r>
      <w:r w:rsidRPr="00DF18A9">
        <w:t>20</w:t>
      </w:r>
      <w:r w:rsidR="00157DCF" w:rsidRPr="00DF18A9">
        <w:t>2</w:t>
      </w:r>
      <w:r w:rsidR="00062DC7" w:rsidRPr="00DF18A9">
        <w:t>1</w:t>
      </w:r>
      <w:r w:rsidRPr="00DF18A9">
        <w:t xml:space="preserve"> года в 10.00 на электронной</w:t>
      </w:r>
      <w:r w:rsidRPr="00800EF1">
        <w:t xml:space="preserve"> торговой площадке АО «ЕЭТП» https://178fz.roseltorg.ru.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4F1807" w:rsidRPr="004F1807" w:rsidRDefault="00DC57D4" w:rsidP="004F1807">
      <w:pPr>
        <w:ind w:firstLine="709"/>
        <w:jc w:val="both"/>
        <w:rPr>
          <w:sz w:val="24"/>
          <w:szCs w:val="24"/>
        </w:rPr>
      </w:pPr>
      <w:r w:rsidRPr="004F1807">
        <w:rPr>
          <w:sz w:val="24"/>
          <w:szCs w:val="24"/>
        </w:rPr>
        <w:t>-</w:t>
      </w:r>
      <w:r w:rsidRPr="004F1807">
        <w:rPr>
          <w:rFonts w:eastAsia="Calibri"/>
          <w:sz w:val="24"/>
          <w:szCs w:val="24"/>
          <w:lang w:eastAsia="en-US"/>
        </w:rPr>
        <w:t xml:space="preserve"> </w:t>
      </w:r>
      <w:r w:rsidR="004F1807" w:rsidRPr="004F1807">
        <w:rPr>
          <w:rFonts w:eastAsia="Calibri"/>
          <w:sz w:val="24"/>
          <w:szCs w:val="24"/>
          <w:lang w:eastAsia="en-US"/>
        </w:rPr>
        <w:t>нежилое помещение с кадастровым номером 37:13:010512:108, общей площадью 36,4 кв.м., находящееся по адресу: Ивановская область, Приволжский район, г. Приволжск, ул. Фабричная, д.10, пом</w:t>
      </w:r>
      <w:r w:rsidR="004F1807" w:rsidRPr="004F1807">
        <w:rPr>
          <w:sz w:val="24"/>
          <w:szCs w:val="24"/>
        </w:rPr>
        <w:t>. 1002.</w:t>
      </w:r>
    </w:p>
    <w:p w:rsidR="00DC57D4" w:rsidRDefault="00DC57D4" w:rsidP="005311C7">
      <w:pPr>
        <w:autoSpaceDE w:val="0"/>
        <w:autoSpaceDN w:val="0"/>
        <w:adjustRightInd w:val="0"/>
        <w:ind w:firstLine="614"/>
        <w:jc w:val="both"/>
        <w:rPr>
          <w:sz w:val="28"/>
          <w:szCs w:val="28"/>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DC57D4" w:rsidRPr="003569EA" w:rsidRDefault="003569EA" w:rsidP="00DC57D4">
      <w:pPr>
        <w:ind w:firstLine="708"/>
        <w:jc w:val="center"/>
        <w:rPr>
          <w:b/>
          <w:i/>
          <w:sz w:val="24"/>
          <w:szCs w:val="24"/>
          <w:highlight w:val="yellow"/>
        </w:rPr>
      </w:pPr>
      <w:r w:rsidRPr="003569EA">
        <w:rPr>
          <w:b/>
          <w:bCs/>
          <w:sz w:val="24"/>
          <w:szCs w:val="24"/>
        </w:rPr>
        <w:lastRenderedPageBreak/>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A020E8" w:rsidRDefault="00A020E8" w:rsidP="00DC57D4">
      <w:pPr>
        <w:pStyle w:val="ConsPlusNormal"/>
        <w:ind w:firstLine="0"/>
        <w:jc w:val="center"/>
        <w:rPr>
          <w:rFonts w:ascii="Times New Roman" w:eastAsia="Calibri" w:hAnsi="Times New Roman" w:cs="Times New Roman"/>
          <w:b/>
          <w:sz w:val="24"/>
          <w:szCs w:val="24"/>
          <w:lang w:eastAsia="en-US"/>
        </w:rPr>
      </w:pPr>
    </w:p>
    <w:tbl>
      <w:tblPr>
        <w:tblStyle w:val="a3"/>
        <w:tblW w:w="0" w:type="auto"/>
        <w:tblLook w:val="04A0" w:firstRow="1" w:lastRow="0" w:firstColumn="1" w:lastColumn="0" w:noHBand="0" w:noVBand="1"/>
      </w:tblPr>
      <w:tblGrid>
        <w:gridCol w:w="3304"/>
        <w:gridCol w:w="3304"/>
        <w:gridCol w:w="3304"/>
      </w:tblGrid>
      <w:tr w:rsidR="003B2B86" w:rsidTr="003B2B86">
        <w:tc>
          <w:tcPr>
            <w:tcW w:w="3304" w:type="dxa"/>
          </w:tcPr>
          <w:p w:rsidR="003B2B86" w:rsidRPr="003B2B86" w:rsidRDefault="003B2B86" w:rsidP="00192B64">
            <w:pPr>
              <w:pStyle w:val="Default"/>
              <w:jc w:val="center"/>
            </w:pPr>
            <w:r w:rsidRPr="003B2B86">
              <w:rPr>
                <w:b/>
                <w:bCs/>
              </w:rPr>
              <w:t>Адрес объекта оценки</w:t>
            </w:r>
          </w:p>
        </w:tc>
        <w:tc>
          <w:tcPr>
            <w:tcW w:w="3304" w:type="dxa"/>
          </w:tcPr>
          <w:p w:rsidR="003B2B86" w:rsidRPr="003B2B86" w:rsidRDefault="003B2B86" w:rsidP="00192B64">
            <w:pPr>
              <w:pStyle w:val="Default"/>
              <w:jc w:val="center"/>
            </w:pPr>
            <w:r w:rsidRPr="003B2B86">
              <w:rPr>
                <w:b/>
                <w:bCs/>
              </w:rPr>
              <w:t>Площадь,</w:t>
            </w:r>
          </w:p>
          <w:p w:rsidR="003B2B86" w:rsidRPr="003B2B86" w:rsidRDefault="003B2B86" w:rsidP="00192B64">
            <w:pPr>
              <w:pStyle w:val="Default"/>
              <w:jc w:val="center"/>
            </w:pPr>
            <w:r w:rsidRPr="003B2B86">
              <w:rPr>
                <w:b/>
                <w:bCs/>
              </w:rPr>
              <w:t>кв. м</w:t>
            </w:r>
          </w:p>
        </w:tc>
        <w:tc>
          <w:tcPr>
            <w:tcW w:w="3304" w:type="dxa"/>
          </w:tcPr>
          <w:p w:rsidR="003B2B86" w:rsidRPr="003B2B86" w:rsidRDefault="003B2B86" w:rsidP="003B2B86">
            <w:pPr>
              <w:pStyle w:val="Default"/>
            </w:pPr>
            <w:r w:rsidRPr="003B2B86">
              <w:rPr>
                <w:b/>
                <w:bCs/>
              </w:rPr>
              <w:t xml:space="preserve">Наименования согласно правоустанавливающим документам зданий и сооружений, расположенных на земельном участке, инвентарный номер по учету собственника </w:t>
            </w:r>
          </w:p>
        </w:tc>
      </w:tr>
      <w:tr w:rsidR="003B2B86" w:rsidTr="00AE2721">
        <w:trPr>
          <w:trHeight w:val="2062"/>
        </w:trPr>
        <w:tc>
          <w:tcPr>
            <w:tcW w:w="3304" w:type="dxa"/>
          </w:tcPr>
          <w:p w:rsidR="003B2B86" w:rsidRPr="003B2B86" w:rsidRDefault="003B2B86" w:rsidP="003B2B86">
            <w:pPr>
              <w:pStyle w:val="Default"/>
            </w:pPr>
            <w:r w:rsidRPr="003B2B86">
              <w:t xml:space="preserve">Ивановская область, приволжский район, </w:t>
            </w:r>
          </w:p>
          <w:p w:rsidR="003B2B86" w:rsidRPr="003B2B86" w:rsidRDefault="003B2B86" w:rsidP="003B2B86">
            <w:pPr>
              <w:pStyle w:val="Default"/>
            </w:pPr>
            <w:r w:rsidRPr="003B2B86">
              <w:t xml:space="preserve">г. Приволжск, </w:t>
            </w:r>
          </w:p>
          <w:p w:rsidR="003B2B86" w:rsidRPr="003B2B86" w:rsidRDefault="003B2B86" w:rsidP="003B2B86">
            <w:pPr>
              <w:pStyle w:val="Default"/>
            </w:pPr>
            <w:r w:rsidRPr="003B2B86">
              <w:t xml:space="preserve">ул. Фабричная, д. 10, </w:t>
            </w:r>
          </w:p>
          <w:p w:rsidR="003B2B86" w:rsidRPr="003B2B86" w:rsidRDefault="003B2B86" w:rsidP="003B2B86">
            <w:pPr>
              <w:pStyle w:val="Default"/>
            </w:pPr>
            <w:r w:rsidRPr="003B2B86">
              <w:t xml:space="preserve">пом. 1002 </w:t>
            </w:r>
          </w:p>
        </w:tc>
        <w:tc>
          <w:tcPr>
            <w:tcW w:w="3304" w:type="dxa"/>
          </w:tcPr>
          <w:p w:rsidR="003B2B86" w:rsidRPr="003B2B86" w:rsidRDefault="003B2B86" w:rsidP="003B2B86">
            <w:pPr>
              <w:pStyle w:val="Default"/>
              <w:jc w:val="center"/>
            </w:pPr>
            <w:r w:rsidRPr="003B2B86">
              <w:t>36,4</w:t>
            </w:r>
          </w:p>
        </w:tc>
        <w:tc>
          <w:tcPr>
            <w:tcW w:w="3304" w:type="dxa"/>
          </w:tcPr>
          <w:p w:rsidR="003B2B86" w:rsidRPr="003B2B86" w:rsidRDefault="003B2B86" w:rsidP="003B2B86">
            <w:pPr>
              <w:pStyle w:val="Default"/>
            </w:pPr>
            <w:r w:rsidRPr="003B2B86">
              <w:t xml:space="preserve">Нежилое помещение с кадастровым номером 37:13:010512:108 площадью 36,4 кв. м, расположенное на 1 этаже двухэтажного многоквартирного кирпичного жилого </w:t>
            </w:r>
            <w:r w:rsidR="00AE2721">
              <w:t>дома</w:t>
            </w:r>
            <w:bookmarkStart w:id="1" w:name="_GoBack"/>
            <w:bookmarkEnd w:id="1"/>
          </w:p>
        </w:tc>
      </w:tr>
    </w:tbl>
    <w:p w:rsidR="003B2B86" w:rsidRPr="003569EA" w:rsidRDefault="003B2B86" w:rsidP="00192B64">
      <w:pPr>
        <w:pStyle w:val="ConsPlusNormal"/>
        <w:ind w:firstLine="0"/>
        <w:rPr>
          <w:rFonts w:ascii="Times New Roman" w:eastAsia="Calibri" w:hAnsi="Times New Roman" w:cs="Times New Roman"/>
          <w:b/>
          <w:sz w:val="24"/>
          <w:szCs w:val="24"/>
          <w:lang w:eastAsia="en-US"/>
        </w:rPr>
      </w:pPr>
    </w:p>
    <w:p w:rsidR="00A020E8" w:rsidRPr="003569EA" w:rsidRDefault="00A020E8" w:rsidP="00192B64">
      <w:pPr>
        <w:jc w:val="center"/>
        <w:rPr>
          <w:b/>
          <w:bCs/>
          <w:sz w:val="24"/>
          <w:szCs w:val="24"/>
        </w:rPr>
      </w:pPr>
      <w:r w:rsidRPr="003569EA">
        <w:rPr>
          <w:b/>
          <w:bCs/>
          <w:sz w:val="24"/>
          <w:szCs w:val="24"/>
        </w:rPr>
        <w:t>Объемно-плановое решение</w:t>
      </w:r>
      <w:r w:rsidR="00FB0276">
        <w:rPr>
          <w:b/>
          <w:bCs/>
          <w:sz w:val="24"/>
          <w:szCs w:val="24"/>
        </w:rPr>
        <w:t>:</w:t>
      </w:r>
    </w:p>
    <w:p w:rsidR="00A020E8" w:rsidRPr="003569EA" w:rsidRDefault="00A020E8" w:rsidP="00A020E8">
      <w:pPr>
        <w:jc w:val="center"/>
        <w:rPr>
          <w:b/>
          <w:bCs/>
          <w:sz w:val="24"/>
          <w:szCs w:val="24"/>
        </w:rPr>
      </w:pPr>
    </w:p>
    <w:tbl>
      <w:tblPr>
        <w:tblStyle w:val="a3"/>
        <w:tblW w:w="0" w:type="auto"/>
        <w:tblLook w:val="04A0" w:firstRow="1" w:lastRow="0" w:firstColumn="1" w:lastColumn="0" w:noHBand="0" w:noVBand="1"/>
      </w:tblPr>
      <w:tblGrid>
        <w:gridCol w:w="5524"/>
        <w:gridCol w:w="4388"/>
      </w:tblGrid>
      <w:tr w:rsidR="00A020E8" w:rsidRPr="003569EA" w:rsidTr="00A020E8">
        <w:tc>
          <w:tcPr>
            <w:tcW w:w="5524" w:type="dxa"/>
          </w:tcPr>
          <w:p w:rsidR="00A020E8" w:rsidRPr="003569EA" w:rsidRDefault="00A020E8" w:rsidP="00A020E8">
            <w:pPr>
              <w:pStyle w:val="Default"/>
            </w:pPr>
            <w:r w:rsidRPr="003569EA">
              <w:t xml:space="preserve">Общая площадь нежилого помещения, кв. м </w:t>
            </w:r>
          </w:p>
        </w:tc>
        <w:tc>
          <w:tcPr>
            <w:tcW w:w="4388" w:type="dxa"/>
          </w:tcPr>
          <w:p w:rsidR="00A020E8" w:rsidRPr="003569EA" w:rsidRDefault="00A020E8" w:rsidP="00A020E8">
            <w:pPr>
              <w:pStyle w:val="Default"/>
            </w:pPr>
            <w:r w:rsidRPr="003569EA">
              <w:t xml:space="preserve">36,4 </w:t>
            </w:r>
          </w:p>
        </w:tc>
      </w:tr>
      <w:tr w:rsidR="00A020E8" w:rsidRPr="003569EA" w:rsidTr="00A020E8">
        <w:tc>
          <w:tcPr>
            <w:tcW w:w="5524" w:type="dxa"/>
          </w:tcPr>
          <w:p w:rsidR="00A020E8" w:rsidRPr="003569EA" w:rsidRDefault="00A020E8" w:rsidP="00A020E8">
            <w:pPr>
              <w:pStyle w:val="Default"/>
            </w:pPr>
            <w:r w:rsidRPr="003569EA">
              <w:t xml:space="preserve">Год постройки жилого дома, в котором расположено нежилое помещение </w:t>
            </w:r>
          </w:p>
        </w:tc>
        <w:tc>
          <w:tcPr>
            <w:tcW w:w="4388" w:type="dxa"/>
          </w:tcPr>
          <w:p w:rsidR="00A020E8" w:rsidRPr="003569EA" w:rsidRDefault="00A020E8" w:rsidP="00A020E8">
            <w:pPr>
              <w:pStyle w:val="Default"/>
            </w:pPr>
            <w:r w:rsidRPr="003569EA">
              <w:t xml:space="preserve">1970 </w:t>
            </w:r>
          </w:p>
        </w:tc>
      </w:tr>
      <w:tr w:rsidR="00A020E8" w:rsidRPr="003569EA" w:rsidTr="00A020E8">
        <w:tc>
          <w:tcPr>
            <w:tcW w:w="5524" w:type="dxa"/>
          </w:tcPr>
          <w:p w:rsidR="00A020E8" w:rsidRPr="003569EA" w:rsidRDefault="00A020E8" w:rsidP="00A020E8">
            <w:pPr>
              <w:pStyle w:val="Default"/>
            </w:pPr>
            <w:r w:rsidRPr="003569EA">
              <w:t xml:space="preserve">Этажность жилого дома, в котором расположено нежилое помещение </w:t>
            </w:r>
          </w:p>
        </w:tc>
        <w:tc>
          <w:tcPr>
            <w:tcW w:w="4388" w:type="dxa"/>
          </w:tcPr>
          <w:p w:rsidR="00A020E8" w:rsidRPr="003569EA" w:rsidRDefault="00A020E8" w:rsidP="00A020E8">
            <w:pPr>
              <w:pStyle w:val="Default"/>
            </w:pPr>
            <w:r w:rsidRPr="003569EA">
              <w:t xml:space="preserve">2 </w:t>
            </w:r>
          </w:p>
        </w:tc>
      </w:tr>
    </w:tbl>
    <w:p w:rsidR="003B2B86" w:rsidRPr="003569EA" w:rsidRDefault="003B2B86" w:rsidP="00192B64">
      <w:pPr>
        <w:rPr>
          <w:b/>
          <w:i/>
          <w:iCs/>
          <w:sz w:val="24"/>
          <w:szCs w:val="24"/>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A020E8" w:rsidRPr="003569EA" w:rsidTr="00DF18A9">
        <w:trPr>
          <w:trHeight w:val="225"/>
        </w:trPr>
        <w:tc>
          <w:tcPr>
            <w:tcW w:w="10031" w:type="dxa"/>
          </w:tcPr>
          <w:p w:rsidR="00A020E8" w:rsidRPr="003569EA" w:rsidRDefault="00A020E8" w:rsidP="003B2B86">
            <w:pPr>
              <w:autoSpaceDE w:val="0"/>
              <w:autoSpaceDN w:val="0"/>
              <w:adjustRightInd w:val="0"/>
              <w:jc w:val="center"/>
              <w:rPr>
                <w:rFonts w:eastAsiaTheme="minorHAnsi"/>
                <w:color w:val="000000"/>
                <w:sz w:val="24"/>
                <w:szCs w:val="24"/>
                <w:lang w:eastAsia="en-US"/>
              </w:rPr>
            </w:pPr>
            <w:r w:rsidRPr="003569EA">
              <w:rPr>
                <w:rFonts w:eastAsiaTheme="minorHAnsi"/>
                <w:b/>
                <w:bCs/>
                <w:color w:val="000000"/>
                <w:sz w:val="24"/>
                <w:szCs w:val="24"/>
                <w:lang w:eastAsia="en-US"/>
              </w:rPr>
              <w:t>Описание конструктивных элементов жилого дома,</w:t>
            </w:r>
          </w:p>
          <w:p w:rsidR="00A020E8" w:rsidRPr="003569EA" w:rsidRDefault="00A020E8" w:rsidP="00A020E8">
            <w:pPr>
              <w:autoSpaceDE w:val="0"/>
              <w:autoSpaceDN w:val="0"/>
              <w:adjustRightInd w:val="0"/>
              <w:jc w:val="center"/>
              <w:rPr>
                <w:rFonts w:eastAsiaTheme="minorHAnsi"/>
                <w:b/>
                <w:bCs/>
                <w:color w:val="000000"/>
                <w:sz w:val="24"/>
                <w:szCs w:val="24"/>
                <w:lang w:eastAsia="en-US"/>
              </w:rPr>
            </w:pPr>
            <w:r w:rsidRPr="003569EA">
              <w:rPr>
                <w:rFonts w:eastAsiaTheme="minorHAnsi"/>
                <w:b/>
                <w:bCs/>
                <w:color w:val="000000"/>
                <w:sz w:val="24"/>
                <w:szCs w:val="24"/>
                <w:lang w:eastAsia="en-US"/>
              </w:rPr>
              <w:t>в котором расположено нежилое помещение</w:t>
            </w:r>
            <w:r w:rsidR="00192B64">
              <w:rPr>
                <w:rFonts w:eastAsiaTheme="minorHAnsi"/>
                <w:b/>
                <w:bCs/>
                <w:color w:val="000000"/>
                <w:sz w:val="24"/>
                <w:szCs w:val="24"/>
                <w:lang w:eastAsia="en-US"/>
              </w:rPr>
              <w:t>:</w:t>
            </w:r>
          </w:p>
          <w:p w:rsidR="00A020E8" w:rsidRPr="003569EA" w:rsidRDefault="00A020E8" w:rsidP="00A020E8">
            <w:pPr>
              <w:autoSpaceDE w:val="0"/>
              <w:autoSpaceDN w:val="0"/>
              <w:adjustRightInd w:val="0"/>
              <w:jc w:val="center"/>
              <w:rPr>
                <w:rFonts w:eastAsiaTheme="minorHAnsi"/>
                <w:b/>
                <w:bCs/>
                <w:color w:val="000000"/>
                <w:sz w:val="24"/>
                <w:szCs w:val="24"/>
                <w:lang w:eastAsia="en-US"/>
              </w:rPr>
            </w:pPr>
          </w:p>
          <w:tbl>
            <w:tblPr>
              <w:tblStyle w:val="a3"/>
              <w:tblW w:w="9918" w:type="dxa"/>
              <w:tblLayout w:type="fixed"/>
              <w:tblLook w:val="04A0" w:firstRow="1" w:lastRow="0" w:firstColumn="1" w:lastColumn="0" w:noHBand="0" w:noVBand="1"/>
            </w:tblPr>
            <w:tblGrid>
              <w:gridCol w:w="5524"/>
              <w:gridCol w:w="4394"/>
            </w:tblGrid>
            <w:tr w:rsidR="003569EA" w:rsidRPr="003569EA" w:rsidTr="00FB0276">
              <w:tc>
                <w:tcPr>
                  <w:tcW w:w="5524" w:type="dxa"/>
                  <w:tcBorders>
                    <w:right w:val="single" w:sz="4" w:space="0" w:color="auto"/>
                  </w:tcBorders>
                </w:tcPr>
                <w:p w:rsidR="003569EA" w:rsidRPr="003569EA" w:rsidRDefault="003569EA" w:rsidP="003569EA">
                  <w:pPr>
                    <w:pStyle w:val="Default"/>
                  </w:pPr>
                  <w:r w:rsidRPr="003569EA">
                    <w:rPr>
                      <w:b/>
                      <w:bCs/>
                    </w:rPr>
                    <w:t xml:space="preserve">Наименование конструктивного элемента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rPr>
                      <w:b/>
                      <w:bCs/>
                    </w:rPr>
                    <w:t xml:space="preserve">Описание элементов (материал, конструкция или система, отделка и прочее)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Фундамент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бетонный ленточный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Наружные стены (материал)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кирпич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Перегородки (материал)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кирпичные, тесовые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Перекрытия (материал)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деревянные отепленные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Кровля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шифер по обрешетке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Полы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дощатые окрашены, плитка керамическая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Оконные проемы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двойные створные деревянные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Дверные проемы межкомнатные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простые филенчатые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Входная дверь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металлическая </w:t>
                  </w:r>
                </w:p>
              </w:tc>
            </w:tr>
            <w:tr w:rsidR="003569EA" w:rsidRPr="003569EA" w:rsidTr="00FB0276">
              <w:tc>
                <w:tcPr>
                  <w:tcW w:w="5524" w:type="dxa"/>
                  <w:tcBorders>
                    <w:right w:val="single" w:sz="4" w:space="0" w:color="auto"/>
                  </w:tcBorders>
                </w:tcPr>
                <w:p w:rsidR="003569EA" w:rsidRPr="003569EA" w:rsidRDefault="003569EA" w:rsidP="003569EA">
                  <w:pPr>
                    <w:pStyle w:val="Default"/>
                  </w:pPr>
                  <w:r w:rsidRPr="003569EA">
                    <w:t xml:space="preserve">Отделка стен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3569EA" w:rsidP="003569EA">
                  <w:pPr>
                    <w:pStyle w:val="Default"/>
                  </w:pPr>
                  <w:r w:rsidRPr="003569EA">
                    <w:t xml:space="preserve">окраска, побелка, обои </w:t>
                  </w:r>
                </w:p>
              </w:tc>
            </w:tr>
          </w:tbl>
          <w:p w:rsidR="00A020E8" w:rsidRPr="003569EA" w:rsidRDefault="00A020E8" w:rsidP="00A020E8">
            <w:pPr>
              <w:autoSpaceDE w:val="0"/>
              <w:autoSpaceDN w:val="0"/>
              <w:adjustRightInd w:val="0"/>
              <w:jc w:val="center"/>
              <w:rPr>
                <w:rFonts w:eastAsiaTheme="minorHAnsi"/>
                <w:color w:val="000000"/>
                <w:sz w:val="24"/>
                <w:szCs w:val="24"/>
                <w:lang w:eastAsia="en-US"/>
              </w:rPr>
            </w:pPr>
          </w:p>
        </w:tc>
      </w:tr>
    </w:tbl>
    <w:p w:rsidR="00A020E8" w:rsidRPr="003569EA" w:rsidRDefault="00A020E8" w:rsidP="00F255CC">
      <w:pPr>
        <w:pStyle w:val="Default"/>
        <w:ind w:firstLine="708"/>
        <w:jc w:val="both"/>
        <w:rPr>
          <w:b/>
          <w:bCs/>
        </w:rPr>
      </w:pPr>
    </w:p>
    <w:p w:rsidR="003569EA" w:rsidRPr="003569EA" w:rsidRDefault="003569EA" w:rsidP="003569EA">
      <w:pPr>
        <w:autoSpaceDE w:val="0"/>
        <w:autoSpaceDN w:val="0"/>
        <w:adjustRightInd w:val="0"/>
        <w:jc w:val="center"/>
        <w:rPr>
          <w:rFonts w:eastAsiaTheme="minorHAnsi"/>
          <w:color w:val="000000"/>
          <w:sz w:val="24"/>
          <w:szCs w:val="24"/>
          <w:lang w:eastAsia="en-US"/>
        </w:rPr>
      </w:pPr>
      <w:r w:rsidRPr="003569EA">
        <w:rPr>
          <w:rFonts w:eastAsiaTheme="minorHAnsi"/>
          <w:b/>
          <w:bCs/>
          <w:color w:val="000000"/>
          <w:sz w:val="24"/>
          <w:szCs w:val="24"/>
          <w:lang w:eastAsia="en-US"/>
        </w:rPr>
        <w:t>Инженерные сети</w:t>
      </w:r>
      <w:r w:rsidR="00FB0276">
        <w:rPr>
          <w:rFonts w:eastAsiaTheme="minorHAnsi"/>
          <w:b/>
          <w:bCs/>
          <w:color w:val="000000"/>
          <w:sz w:val="24"/>
          <w:szCs w:val="24"/>
          <w:lang w:eastAsia="en-US"/>
        </w:rPr>
        <w:t>:</w:t>
      </w:r>
    </w:p>
    <w:p w:rsidR="003569EA" w:rsidRPr="003569EA" w:rsidRDefault="003569EA" w:rsidP="003569EA">
      <w:pPr>
        <w:pStyle w:val="Default"/>
        <w:ind w:firstLine="708"/>
        <w:jc w:val="center"/>
        <w:rPr>
          <w:b/>
          <w:bCs/>
        </w:rPr>
      </w:pPr>
    </w:p>
    <w:tbl>
      <w:tblPr>
        <w:tblStyle w:val="a3"/>
        <w:tblW w:w="0" w:type="auto"/>
        <w:tblLook w:val="04A0" w:firstRow="1" w:lastRow="0" w:firstColumn="1" w:lastColumn="0" w:noHBand="0" w:noVBand="1"/>
      </w:tblPr>
      <w:tblGrid>
        <w:gridCol w:w="5524"/>
        <w:gridCol w:w="4388"/>
      </w:tblGrid>
      <w:tr w:rsidR="003569EA" w:rsidRPr="003569EA" w:rsidTr="003569EA">
        <w:tc>
          <w:tcPr>
            <w:tcW w:w="5524" w:type="dxa"/>
          </w:tcPr>
          <w:p w:rsidR="003569EA" w:rsidRPr="003569EA" w:rsidRDefault="003569EA" w:rsidP="003569EA">
            <w:pPr>
              <w:pStyle w:val="Default"/>
            </w:pPr>
            <w:r w:rsidRPr="003569EA">
              <w:t xml:space="preserve">Отопление </w:t>
            </w:r>
          </w:p>
        </w:tc>
        <w:tc>
          <w:tcPr>
            <w:tcW w:w="4388" w:type="dxa"/>
          </w:tcPr>
          <w:p w:rsidR="003569EA" w:rsidRPr="003569EA" w:rsidRDefault="003569EA" w:rsidP="003569EA">
            <w:pPr>
              <w:pStyle w:val="Default"/>
            </w:pPr>
            <w:r w:rsidRPr="003569EA">
              <w:t xml:space="preserve">центральное </w:t>
            </w:r>
          </w:p>
        </w:tc>
      </w:tr>
      <w:tr w:rsidR="003569EA" w:rsidRPr="003569EA" w:rsidTr="003569EA">
        <w:tc>
          <w:tcPr>
            <w:tcW w:w="5524" w:type="dxa"/>
          </w:tcPr>
          <w:p w:rsidR="003569EA" w:rsidRPr="003569EA" w:rsidRDefault="003569EA" w:rsidP="003569EA">
            <w:pPr>
              <w:pStyle w:val="Default"/>
            </w:pPr>
            <w:r w:rsidRPr="003569EA">
              <w:t xml:space="preserve">Водоснабжение </w:t>
            </w:r>
          </w:p>
        </w:tc>
        <w:tc>
          <w:tcPr>
            <w:tcW w:w="4388" w:type="dxa"/>
          </w:tcPr>
          <w:p w:rsidR="003569EA" w:rsidRPr="003569EA" w:rsidRDefault="003569EA" w:rsidP="003569EA">
            <w:pPr>
              <w:pStyle w:val="Default"/>
            </w:pPr>
            <w:r w:rsidRPr="003569EA">
              <w:t xml:space="preserve">центральное </w:t>
            </w:r>
          </w:p>
        </w:tc>
      </w:tr>
      <w:tr w:rsidR="003569EA" w:rsidRPr="003569EA" w:rsidTr="003569EA">
        <w:tc>
          <w:tcPr>
            <w:tcW w:w="5524" w:type="dxa"/>
          </w:tcPr>
          <w:p w:rsidR="003569EA" w:rsidRPr="003569EA" w:rsidRDefault="003569EA" w:rsidP="003569EA">
            <w:pPr>
              <w:pStyle w:val="Default"/>
            </w:pPr>
            <w:r w:rsidRPr="003569EA">
              <w:t xml:space="preserve">Канализация </w:t>
            </w:r>
          </w:p>
        </w:tc>
        <w:tc>
          <w:tcPr>
            <w:tcW w:w="4388" w:type="dxa"/>
          </w:tcPr>
          <w:p w:rsidR="003569EA" w:rsidRPr="003569EA" w:rsidRDefault="003569EA" w:rsidP="003569EA">
            <w:pPr>
              <w:pStyle w:val="Default"/>
            </w:pPr>
            <w:r w:rsidRPr="003569EA">
              <w:t xml:space="preserve">центральная </w:t>
            </w:r>
          </w:p>
        </w:tc>
      </w:tr>
    </w:tbl>
    <w:p w:rsidR="00192B64" w:rsidRDefault="00192B64" w:rsidP="00192B64">
      <w:pPr>
        <w:pStyle w:val="Default"/>
        <w:jc w:val="center"/>
        <w:rPr>
          <w:b/>
          <w:bCs/>
        </w:rPr>
      </w:pPr>
    </w:p>
    <w:p w:rsidR="00192B64" w:rsidRDefault="00192B64" w:rsidP="00192B64">
      <w:pPr>
        <w:pStyle w:val="Default"/>
        <w:jc w:val="center"/>
        <w:rPr>
          <w:b/>
          <w:bCs/>
        </w:rPr>
      </w:pPr>
    </w:p>
    <w:p w:rsidR="003B2B86" w:rsidRDefault="003B2B86" w:rsidP="00192B64">
      <w:pPr>
        <w:pStyle w:val="Default"/>
        <w:jc w:val="center"/>
        <w:rPr>
          <w:b/>
          <w:bCs/>
        </w:rPr>
      </w:pPr>
      <w:r w:rsidRPr="003569EA">
        <w:rPr>
          <w:b/>
          <w:bCs/>
        </w:rPr>
        <w:lastRenderedPageBreak/>
        <w:t xml:space="preserve">Общая характеристика </w:t>
      </w:r>
      <w:r>
        <w:rPr>
          <w:b/>
          <w:bCs/>
        </w:rPr>
        <w:t>земельного участка</w:t>
      </w:r>
      <w:r w:rsidRPr="003569EA">
        <w:rPr>
          <w:b/>
          <w:bCs/>
        </w:rPr>
        <w:t>:</w:t>
      </w:r>
    </w:p>
    <w:p w:rsidR="003B2B86" w:rsidRDefault="003B2B86" w:rsidP="003B2B86">
      <w:pPr>
        <w:pStyle w:val="Default"/>
        <w:jc w:val="center"/>
        <w:rPr>
          <w:b/>
          <w:bCs/>
        </w:rPr>
      </w:pPr>
    </w:p>
    <w:tbl>
      <w:tblPr>
        <w:tblStyle w:val="a3"/>
        <w:tblW w:w="0" w:type="auto"/>
        <w:tblLook w:val="04A0" w:firstRow="1" w:lastRow="0" w:firstColumn="1" w:lastColumn="0" w:noHBand="0" w:noVBand="1"/>
      </w:tblPr>
      <w:tblGrid>
        <w:gridCol w:w="4956"/>
        <w:gridCol w:w="4956"/>
      </w:tblGrid>
      <w:tr w:rsidR="003B2B86" w:rsidTr="007F26F9">
        <w:tc>
          <w:tcPr>
            <w:tcW w:w="4956" w:type="dxa"/>
          </w:tcPr>
          <w:p w:rsidR="003B2B86" w:rsidRPr="00A65252" w:rsidRDefault="003B2B86" w:rsidP="007F26F9">
            <w:pPr>
              <w:pStyle w:val="Default"/>
              <w:rPr>
                <w:b/>
                <w:bCs/>
              </w:rPr>
            </w:pPr>
            <w:r w:rsidRPr="00A65252">
              <w:rPr>
                <w:b/>
                <w:bCs/>
              </w:rPr>
              <w:t xml:space="preserve">Категория земель </w:t>
            </w:r>
          </w:p>
        </w:tc>
        <w:tc>
          <w:tcPr>
            <w:tcW w:w="4956" w:type="dxa"/>
          </w:tcPr>
          <w:p w:rsidR="003B2B86" w:rsidRPr="00A65252" w:rsidRDefault="003B2B86" w:rsidP="007F26F9">
            <w:pPr>
              <w:pStyle w:val="Default"/>
              <w:rPr>
                <w:b/>
                <w:bCs/>
              </w:rPr>
            </w:pPr>
            <w:r w:rsidRPr="00A65252">
              <w:rPr>
                <w:b/>
                <w:bCs/>
              </w:rPr>
              <w:t xml:space="preserve">Земли населенных пунктов </w:t>
            </w:r>
          </w:p>
        </w:tc>
      </w:tr>
      <w:tr w:rsidR="003B2B86" w:rsidTr="007F26F9">
        <w:tc>
          <w:tcPr>
            <w:tcW w:w="4956" w:type="dxa"/>
          </w:tcPr>
          <w:p w:rsidR="003B2B86" w:rsidRPr="00A65252" w:rsidRDefault="003B2B86" w:rsidP="007F26F9">
            <w:pPr>
              <w:pStyle w:val="Default"/>
            </w:pPr>
            <w:r w:rsidRPr="00A65252">
              <w:t xml:space="preserve">Вид разрешенного использования, назначение </w:t>
            </w:r>
          </w:p>
        </w:tc>
        <w:tc>
          <w:tcPr>
            <w:tcW w:w="4956" w:type="dxa"/>
          </w:tcPr>
          <w:p w:rsidR="003B2B86" w:rsidRPr="00A65252" w:rsidRDefault="003B2B86" w:rsidP="007F26F9">
            <w:pPr>
              <w:pStyle w:val="Default"/>
            </w:pPr>
            <w:r w:rsidRPr="00A65252">
              <w:t xml:space="preserve">Малоэтажная жилая застройка </w:t>
            </w:r>
          </w:p>
        </w:tc>
      </w:tr>
      <w:tr w:rsidR="003B2B86" w:rsidTr="007F26F9">
        <w:tc>
          <w:tcPr>
            <w:tcW w:w="4956" w:type="dxa"/>
          </w:tcPr>
          <w:p w:rsidR="003B2B86" w:rsidRPr="00A65252" w:rsidRDefault="003B2B86" w:rsidP="007F26F9">
            <w:pPr>
              <w:pStyle w:val="Default"/>
            </w:pPr>
            <w:r w:rsidRPr="00A65252">
              <w:t xml:space="preserve">Фактическая площадь земельного участка, (м2) </w:t>
            </w:r>
          </w:p>
        </w:tc>
        <w:tc>
          <w:tcPr>
            <w:tcW w:w="4956" w:type="dxa"/>
          </w:tcPr>
          <w:p w:rsidR="003B2B86" w:rsidRPr="00A65252" w:rsidRDefault="003B2B86" w:rsidP="007F26F9">
            <w:pPr>
              <w:pStyle w:val="Default"/>
            </w:pPr>
            <w:r w:rsidRPr="00A65252">
              <w:t xml:space="preserve">368 </w:t>
            </w:r>
          </w:p>
        </w:tc>
      </w:tr>
      <w:tr w:rsidR="003B2B86" w:rsidTr="007F26F9">
        <w:tc>
          <w:tcPr>
            <w:tcW w:w="4956" w:type="dxa"/>
          </w:tcPr>
          <w:p w:rsidR="003B2B86" w:rsidRPr="00A65252" w:rsidRDefault="003B2B86" w:rsidP="007F26F9">
            <w:pPr>
              <w:pStyle w:val="Default"/>
            </w:pPr>
            <w:r w:rsidRPr="00A65252">
              <w:t xml:space="preserve">Зарегистрированная площадь земельного участка, (м2) </w:t>
            </w:r>
          </w:p>
        </w:tc>
        <w:tc>
          <w:tcPr>
            <w:tcW w:w="4956" w:type="dxa"/>
          </w:tcPr>
          <w:p w:rsidR="003B2B86" w:rsidRPr="00A65252" w:rsidRDefault="003B2B86" w:rsidP="007F26F9">
            <w:pPr>
              <w:pStyle w:val="Default"/>
            </w:pPr>
            <w:r w:rsidRPr="00A65252">
              <w:t xml:space="preserve">368 </w:t>
            </w:r>
          </w:p>
        </w:tc>
      </w:tr>
      <w:tr w:rsidR="003B2B86" w:rsidTr="007F26F9">
        <w:tc>
          <w:tcPr>
            <w:tcW w:w="4956" w:type="dxa"/>
          </w:tcPr>
          <w:p w:rsidR="003B2B86" w:rsidRPr="00A65252" w:rsidRDefault="003B2B86" w:rsidP="007F26F9">
            <w:pPr>
              <w:pStyle w:val="Default"/>
            </w:pPr>
            <w:r w:rsidRPr="00A65252">
              <w:t xml:space="preserve">Кадастровый номер </w:t>
            </w:r>
          </w:p>
        </w:tc>
        <w:tc>
          <w:tcPr>
            <w:tcW w:w="4956" w:type="dxa"/>
          </w:tcPr>
          <w:p w:rsidR="003B2B86" w:rsidRPr="00A65252" w:rsidRDefault="003B2B86" w:rsidP="007F26F9">
            <w:pPr>
              <w:pStyle w:val="Default"/>
            </w:pPr>
            <w:r w:rsidRPr="00A65252">
              <w:t xml:space="preserve">37:13:010512:30 </w:t>
            </w:r>
          </w:p>
        </w:tc>
      </w:tr>
      <w:tr w:rsidR="003B2B86" w:rsidTr="007F26F9">
        <w:tc>
          <w:tcPr>
            <w:tcW w:w="4956" w:type="dxa"/>
          </w:tcPr>
          <w:p w:rsidR="003B2B86" w:rsidRPr="00A65252" w:rsidRDefault="003B2B86" w:rsidP="007F26F9">
            <w:pPr>
              <w:pStyle w:val="Default"/>
            </w:pPr>
            <w:r w:rsidRPr="00A65252">
              <w:t xml:space="preserve">Кадастровая стоимость, (руб.) </w:t>
            </w:r>
          </w:p>
        </w:tc>
        <w:tc>
          <w:tcPr>
            <w:tcW w:w="4956" w:type="dxa"/>
          </w:tcPr>
          <w:p w:rsidR="003B2B86" w:rsidRPr="00A65252" w:rsidRDefault="003B2B86" w:rsidP="007F26F9">
            <w:pPr>
              <w:pStyle w:val="Default"/>
            </w:pPr>
            <w:r w:rsidRPr="00A65252">
              <w:t xml:space="preserve">71358,88 </w:t>
            </w:r>
          </w:p>
        </w:tc>
      </w:tr>
      <w:tr w:rsidR="003B2B86" w:rsidTr="007F26F9">
        <w:tc>
          <w:tcPr>
            <w:tcW w:w="4956" w:type="dxa"/>
          </w:tcPr>
          <w:p w:rsidR="003B2B86" w:rsidRPr="00A65252" w:rsidRDefault="003B2B86" w:rsidP="007F26F9">
            <w:pPr>
              <w:pStyle w:val="Default"/>
            </w:pPr>
            <w:r w:rsidRPr="00A65252">
              <w:t xml:space="preserve">Адрес местоположения </w:t>
            </w:r>
          </w:p>
        </w:tc>
        <w:tc>
          <w:tcPr>
            <w:tcW w:w="4956" w:type="dxa"/>
          </w:tcPr>
          <w:p w:rsidR="003B2B86" w:rsidRPr="00A65252" w:rsidRDefault="003B2B86" w:rsidP="007F26F9">
            <w:pPr>
              <w:pStyle w:val="Default"/>
            </w:pPr>
            <w:r w:rsidRPr="00A65252">
              <w:t xml:space="preserve">РФ, Ивановская область, Приволжский район, </w:t>
            </w:r>
          </w:p>
          <w:p w:rsidR="003B2B86" w:rsidRPr="00A65252" w:rsidRDefault="003B2B86" w:rsidP="007F26F9">
            <w:pPr>
              <w:pStyle w:val="Default"/>
            </w:pPr>
            <w:r w:rsidRPr="00A65252">
              <w:t xml:space="preserve">г. Приволжск, ул. Фабричная, д. 10 </w:t>
            </w:r>
          </w:p>
        </w:tc>
      </w:tr>
    </w:tbl>
    <w:p w:rsidR="003B2B86" w:rsidRPr="003569EA" w:rsidRDefault="003B2B86" w:rsidP="00192B64">
      <w:pPr>
        <w:pStyle w:val="ConsPlusNormal"/>
        <w:ind w:firstLine="0"/>
        <w:rPr>
          <w:rFonts w:ascii="Times New Roman" w:eastAsia="Calibri" w:hAnsi="Times New Roman" w:cs="Times New Roman"/>
          <w:b/>
          <w:sz w:val="24"/>
          <w:szCs w:val="24"/>
          <w:lang w:eastAsia="en-US"/>
        </w:rPr>
      </w:pPr>
    </w:p>
    <w:p w:rsidR="003B2B86" w:rsidRPr="003569EA" w:rsidRDefault="003B2B86" w:rsidP="003B2B86">
      <w:pPr>
        <w:autoSpaceDE w:val="0"/>
        <w:autoSpaceDN w:val="0"/>
        <w:adjustRightInd w:val="0"/>
        <w:jc w:val="center"/>
        <w:rPr>
          <w:rFonts w:eastAsiaTheme="minorHAnsi"/>
          <w:color w:val="000000"/>
          <w:sz w:val="24"/>
          <w:szCs w:val="24"/>
          <w:lang w:eastAsia="en-US"/>
        </w:rPr>
      </w:pPr>
      <w:r w:rsidRPr="003569EA">
        <w:rPr>
          <w:rFonts w:eastAsiaTheme="minorHAnsi"/>
          <w:b/>
          <w:bCs/>
          <w:color w:val="000000"/>
          <w:sz w:val="24"/>
          <w:szCs w:val="24"/>
          <w:lang w:eastAsia="en-US"/>
        </w:rPr>
        <w:t xml:space="preserve">Сведения об обременениях, связанных с объектом оценки: </w:t>
      </w:r>
    </w:p>
    <w:p w:rsidR="003B2B86" w:rsidRPr="003569EA" w:rsidRDefault="003B2B86" w:rsidP="003B2B86">
      <w:pPr>
        <w:autoSpaceDE w:val="0"/>
        <w:autoSpaceDN w:val="0"/>
        <w:adjustRightInd w:val="0"/>
        <w:rPr>
          <w:rFonts w:eastAsiaTheme="minorHAnsi"/>
          <w:b/>
          <w:bCs/>
          <w:color w:val="000000"/>
          <w:sz w:val="24"/>
          <w:szCs w:val="24"/>
          <w:lang w:eastAsia="en-US"/>
        </w:rPr>
      </w:pPr>
    </w:p>
    <w:tbl>
      <w:tblPr>
        <w:tblStyle w:val="a3"/>
        <w:tblW w:w="0" w:type="auto"/>
        <w:tblLook w:val="04A0" w:firstRow="1" w:lastRow="0" w:firstColumn="1" w:lastColumn="0" w:noHBand="0" w:noVBand="1"/>
      </w:tblPr>
      <w:tblGrid>
        <w:gridCol w:w="5807"/>
        <w:gridCol w:w="4105"/>
      </w:tblGrid>
      <w:tr w:rsidR="003B2B86" w:rsidRPr="003569EA" w:rsidTr="007F26F9">
        <w:tc>
          <w:tcPr>
            <w:tcW w:w="5807" w:type="dxa"/>
          </w:tcPr>
          <w:p w:rsidR="003B2B86" w:rsidRPr="003569EA" w:rsidRDefault="003B2B86" w:rsidP="007F26F9">
            <w:pPr>
              <w:pStyle w:val="Default"/>
            </w:pPr>
            <w:r w:rsidRPr="003569EA">
              <w:t xml:space="preserve">Ограничение (обременение права) </w:t>
            </w:r>
          </w:p>
        </w:tc>
        <w:tc>
          <w:tcPr>
            <w:tcW w:w="4105" w:type="dxa"/>
          </w:tcPr>
          <w:p w:rsidR="003B2B86" w:rsidRPr="003569EA" w:rsidRDefault="003B2B86" w:rsidP="007F26F9">
            <w:pPr>
              <w:pStyle w:val="Default"/>
            </w:pPr>
            <w:r w:rsidRPr="003569EA">
              <w:t xml:space="preserve">Отсутствуют </w:t>
            </w:r>
          </w:p>
        </w:tc>
      </w:tr>
    </w:tbl>
    <w:p w:rsidR="003B2B86" w:rsidRPr="003569EA" w:rsidRDefault="003B2B86" w:rsidP="003B2B86">
      <w:pPr>
        <w:pStyle w:val="ConsPlusNormal"/>
        <w:ind w:firstLine="0"/>
        <w:rPr>
          <w:rFonts w:ascii="Times New Roman" w:hAnsi="Times New Roman" w:cs="Times New Roman"/>
          <w:b/>
          <w:bCs/>
          <w:sz w:val="24"/>
          <w:szCs w:val="24"/>
        </w:rPr>
      </w:pPr>
    </w:p>
    <w:p w:rsidR="00F255CC" w:rsidRPr="00F255CC" w:rsidRDefault="00F255CC" w:rsidP="00F255CC">
      <w:pPr>
        <w:pStyle w:val="Default"/>
        <w:ind w:firstLine="708"/>
        <w:jc w:val="both"/>
      </w:pPr>
      <w:r w:rsidRPr="00F255CC">
        <w:rPr>
          <w:b/>
          <w:bCs/>
        </w:rPr>
        <w:t xml:space="preserve">2. Начальная цена продажи: </w:t>
      </w:r>
    </w:p>
    <w:p w:rsidR="009C6358" w:rsidRPr="009C6358" w:rsidRDefault="0093721F" w:rsidP="009C6358">
      <w:pPr>
        <w:ind w:firstLine="709"/>
        <w:jc w:val="both"/>
        <w:rPr>
          <w:sz w:val="24"/>
          <w:szCs w:val="24"/>
        </w:rPr>
      </w:pPr>
      <w:bookmarkStart w:id="2" w:name="_Hlk22809317"/>
      <w:r w:rsidRPr="0093721F">
        <w:rPr>
          <w:bCs/>
          <w:iCs/>
          <w:sz w:val="24"/>
          <w:szCs w:val="24"/>
        </w:rPr>
        <w:t xml:space="preserve"> </w:t>
      </w:r>
      <w:r w:rsidRPr="009C6358">
        <w:rPr>
          <w:bCs/>
          <w:iCs/>
          <w:sz w:val="24"/>
          <w:szCs w:val="24"/>
        </w:rPr>
        <w:t>–</w:t>
      </w:r>
      <w:bookmarkStart w:id="3" w:name="_Hlk22806302"/>
      <w:bookmarkStart w:id="4" w:name="_Hlk50727634"/>
      <w:bookmarkEnd w:id="2"/>
      <w:r w:rsidR="00AF4567">
        <w:rPr>
          <w:bCs/>
          <w:iCs/>
          <w:sz w:val="24"/>
          <w:szCs w:val="24"/>
        </w:rPr>
        <w:t xml:space="preserve"> </w:t>
      </w:r>
      <w:r w:rsidR="009C6358" w:rsidRPr="009C6358">
        <w:rPr>
          <w:bCs/>
          <w:iCs/>
          <w:sz w:val="24"/>
          <w:szCs w:val="24"/>
        </w:rPr>
        <w:t>965 00</w:t>
      </w:r>
      <w:r w:rsidR="0010417C">
        <w:rPr>
          <w:bCs/>
          <w:iCs/>
          <w:sz w:val="24"/>
          <w:szCs w:val="24"/>
        </w:rPr>
        <w:t>0</w:t>
      </w:r>
      <w:r w:rsidR="009C6358" w:rsidRPr="009C6358">
        <w:rPr>
          <w:bCs/>
          <w:iCs/>
          <w:sz w:val="24"/>
          <w:szCs w:val="24"/>
        </w:rPr>
        <w:t>,00 (девятьсот шестьдесят пять тысяч рублей 00 копеек)</w:t>
      </w:r>
      <w:r w:rsidR="009C6358" w:rsidRPr="009C6358">
        <w:rPr>
          <w:b/>
          <w:i/>
          <w:sz w:val="24"/>
          <w:szCs w:val="24"/>
        </w:rPr>
        <w:t xml:space="preserve"> </w:t>
      </w:r>
      <w:r w:rsidR="009C6358" w:rsidRPr="009C6358">
        <w:rPr>
          <w:bCs/>
          <w:iCs/>
          <w:sz w:val="24"/>
          <w:szCs w:val="24"/>
        </w:rPr>
        <w:t xml:space="preserve">с учетом </w:t>
      </w:r>
      <w:r w:rsidR="009C6358" w:rsidRPr="009C6358">
        <w:rPr>
          <w:sz w:val="24"/>
          <w:szCs w:val="24"/>
        </w:rPr>
        <w:t xml:space="preserve">НДС в размере </w:t>
      </w:r>
      <w:r w:rsidR="009C6358" w:rsidRPr="009C6358">
        <w:rPr>
          <w:color w:val="000000"/>
          <w:sz w:val="24"/>
          <w:szCs w:val="24"/>
        </w:rPr>
        <w:t>159 833,00 (сто пятьдесят девять тысяч восемьсот тридцать три рубля 00 копеек)</w:t>
      </w:r>
      <w:r w:rsidR="009C6358" w:rsidRPr="009C6358">
        <w:rPr>
          <w:color w:val="222222"/>
          <w:sz w:val="24"/>
          <w:szCs w:val="24"/>
          <w:shd w:val="clear" w:color="auto" w:fill="FFFFFF"/>
        </w:rPr>
        <w:t xml:space="preserve">, </w:t>
      </w:r>
      <w:r w:rsidR="009C6358" w:rsidRPr="009C6358">
        <w:rPr>
          <w:sz w:val="24"/>
          <w:szCs w:val="24"/>
        </w:rPr>
        <w:t xml:space="preserve">на основании отчета об оценке рыночной стоимости: недвижимого имущества: нежилого помещения с кадастровым номером 37:13:010512:108 площадью 36,4 кв.м., расположенного по адресу: </w:t>
      </w:r>
      <w:r w:rsidR="009C6358" w:rsidRPr="009C6358">
        <w:rPr>
          <w:rFonts w:eastAsia="Calibri"/>
          <w:sz w:val="24"/>
          <w:szCs w:val="24"/>
          <w:lang w:eastAsia="en-US"/>
        </w:rPr>
        <w:t>Ивановская область, Приволжский район, г. Приволжск, ул. Фабричная, д.10, пом</w:t>
      </w:r>
      <w:r w:rsidR="009C6358" w:rsidRPr="009C6358">
        <w:rPr>
          <w:sz w:val="24"/>
          <w:szCs w:val="24"/>
        </w:rPr>
        <w:t>. 1002, с учетом стоимости доли в праве общей долевой собственности на общее имущество, включая долю в праве общей долевой собственности на земельный участок с кадастровым номером 37:13:010512:30 площадью 368 кв.м. от 04.06.2021 г. №4143/06/21, выполненного ООО «Росконсалтинг».</w:t>
      </w:r>
    </w:p>
    <w:bookmarkEnd w:id="3"/>
    <w:bookmarkEnd w:id="4"/>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9C6358">
        <w:t>193 000</w:t>
      </w:r>
      <w:r w:rsidR="00E70573">
        <w:t>,00 (</w:t>
      </w:r>
      <w:r w:rsidR="009C6358">
        <w:t>сто девяносто три</w:t>
      </w:r>
      <w:r w:rsidR="00E70573">
        <w:t xml:space="preserve"> тысячи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 </w:t>
      </w:r>
      <w:r w:rsidRPr="00436B06">
        <w:t xml:space="preserve">– </w:t>
      </w:r>
      <w:r w:rsidR="009C6358">
        <w:t>48 250</w:t>
      </w:r>
      <w:r w:rsidR="00E70573">
        <w:t>,00 (</w:t>
      </w:r>
      <w:r w:rsidR="009C6358">
        <w:t>сорок восемь</w:t>
      </w:r>
      <w:r w:rsidR="00E70573">
        <w:t xml:space="preserve"> тысяч </w:t>
      </w:r>
      <w:r w:rsidR="009C6358">
        <w:t>двести пятьдесят</w:t>
      </w:r>
      <w:r w:rsidR="00E70573">
        <w:t xml:space="preserve">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9C6358" w:rsidRDefault="009C6358" w:rsidP="00F255CC">
      <w:pPr>
        <w:pStyle w:val="Default"/>
        <w:jc w:val="center"/>
        <w:rPr>
          <w:b/>
          <w:bCs/>
        </w:rPr>
      </w:pPr>
    </w:p>
    <w:p w:rsidR="00192B64" w:rsidRDefault="00192B64" w:rsidP="00F255CC">
      <w:pPr>
        <w:pStyle w:val="Default"/>
        <w:jc w:val="center"/>
        <w:rPr>
          <w:b/>
          <w:bCs/>
        </w:rPr>
      </w:pPr>
    </w:p>
    <w:p w:rsidR="00192B64" w:rsidRDefault="00192B64" w:rsidP="00F255CC">
      <w:pPr>
        <w:pStyle w:val="Default"/>
        <w:jc w:val="center"/>
        <w:rPr>
          <w:b/>
          <w:bCs/>
        </w:rPr>
      </w:pPr>
    </w:p>
    <w:p w:rsidR="00192B64" w:rsidRDefault="00192B64" w:rsidP="00F255CC">
      <w:pPr>
        <w:pStyle w:val="Default"/>
        <w:jc w:val="center"/>
        <w:rPr>
          <w:b/>
          <w:bCs/>
        </w:rPr>
      </w:pPr>
    </w:p>
    <w:p w:rsidR="00F255CC" w:rsidRDefault="00F255CC" w:rsidP="00F255CC">
      <w:pPr>
        <w:pStyle w:val="Default"/>
        <w:jc w:val="center"/>
        <w:rPr>
          <w:b/>
          <w:bCs/>
        </w:rPr>
      </w:pPr>
      <w:r w:rsidRPr="00F255CC">
        <w:rPr>
          <w:b/>
          <w:bCs/>
        </w:rPr>
        <w:lastRenderedPageBreak/>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Регистрации на электронной площадке подлежат претенденты, ранее не зарегистрированные на электронной площадке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lastRenderedPageBreak/>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lastRenderedPageBreak/>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w:t>
      </w:r>
      <w:r w:rsidRPr="00F255CC">
        <w:rPr>
          <w:color w:val="auto"/>
        </w:rPr>
        <w:lastRenderedPageBreak/>
        <w:t xml:space="preserve">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w:t>
      </w:r>
      <w:r w:rsidRPr="00F255CC">
        <w:rPr>
          <w:color w:val="auto"/>
        </w:rPr>
        <w:lastRenderedPageBreak/>
        <w:t xml:space="preserve">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lastRenderedPageBreak/>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04333203790) ИНН 3719001961, КПП 371901001, код ОКТМО 24620106,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313114</w:t>
      </w:r>
      <w:r>
        <w:rPr>
          <w:sz w:val="24"/>
          <w:szCs w:val="24"/>
        </w:rPr>
        <w:t>02053130000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городских поселений</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9C6358" w:rsidRDefault="009C6358" w:rsidP="00712BB8">
      <w:pPr>
        <w:pStyle w:val="Default"/>
        <w:jc w:val="center"/>
        <w:rPr>
          <w:b/>
          <w:bCs/>
          <w:color w:val="auto"/>
        </w:rPr>
      </w:pPr>
    </w:p>
    <w:p w:rsidR="00192B64" w:rsidRDefault="00192B64" w:rsidP="00712BB8">
      <w:pPr>
        <w:pStyle w:val="Default"/>
        <w:jc w:val="center"/>
        <w:rPr>
          <w:b/>
          <w:bCs/>
          <w:color w:val="auto"/>
        </w:rPr>
      </w:pPr>
    </w:p>
    <w:p w:rsidR="00192B64" w:rsidRDefault="00192B64" w:rsidP="00712BB8">
      <w:pPr>
        <w:pStyle w:val="Default"/>
        <w:jc w:val="center"/>
        <w:rPr>
          <w:b/>
          <w:bCs/>
          <w:color w:val="auto"/>
        </w:rPr>
      </w:pPr>
    </w:p>
    <w:p w:rsidR="00192B64" w:rsidRDefault="00192B64"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lastRenderedPageBreak/>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D46F34" w:rsidRPr="00DF18A9" w:rsidRDefault="00F255CC" w:rsidP="00DF18A9">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255CC" w:rsidRPr="00F255CC" w:rsidRDefault="00F255CC" w:rsidP="00D46F34">
      <w:pPr>
        <w:pStyle w:val="Default"/>
        <w:ind w:firstLine="708"/>
        <w:jc w:val="both"/>
        <w:rPr>
          <w:color w:val="auto"/>
        </w:rPr>
      </w:pPr>
      <w:r w:rsidRPr="00F255CC">
        <w:rPr>
          <w:b/>
          <w:bCs/>
          <w:color w:val="auto"/>
        </w:rPr>
        <w:lastRenderedPageBreak/>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Pr="003B2B86" w:rsidRDefault="001F2892" w:rsidP="001F2892">
      <w:pPr>
        <w:ind w:firstLine="614"/>
        <w:jc w:val="both"/>
        <w:rPr>
          <w:sz w:val="24"/>
          <w:szCs w:val="24"/>
        </w:rPr>
      </w:pPr>
      <w:r w:rsidRPr="003B2B86">
        <w:rPr>
          <w:sz w:val="24"/>
          <w:szCs w:val="24"/>
        </w:rPr>
        <w:t>Объект принадлежит Продавцу на праве собственности</w:t>
      </w:r>
      <w:r w:rsidRPr="003B2B86">
        <w:rPr>
          <w:sz w:val="24"/>
          <w:szCs w:val="24"/>
        </w:rPr>
        <w:br/>
      </w:r>
      <w:r w:rsidR="00436B06" w:rsidRPr="003B2B86">
        <w:rPr>
          <w:sz w:val="24"/>
          <w:szCs w:val="24"/>
        </w:rPr>
        <w:t xml:space="preserve">Приволжского </w:t>
      </w:r>
      <w:r w:rsidR="007E689C" w:rsidRPr="003B2B86">
        <w:rPr>
          <w:sz w:val="24"/>
          <w:szCs w:val="24"/>
        </w:rPr>
        <w:t>городского поселения</w:t>
      </w:r>
      <w:r w:rsidRPr="003B2B86">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p>
    <w:p w:rsidR="001F2892" w:rsidRPr="007E689C"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7E689C">
        <w:rPr>
          <w:sz w:val="24"/>
          <w:szCs w:val="24"/>
        </w:rPr>
        <w:t>городского поселения</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C43A06" w:rsidRPr="007A269F" w:rsidRDefault="00C43A06" w:rsidP="00A344E2">
      <w:pPr>
        <w:tabs>
          <w:tab w:val="left" w:pos="-426"/>
        </w:tabs>
        <w:contextualSpacing/>
        <w:jc w:val="both"/>
        <w:rPr>
          <w:sz w:val="24"/>
          <w:szCs w:val="24"/>
        </w:rPr>
      </w:pPr>
      <w:r>
        <w:rPr>
          <w:sz w:val="24"/>
          <w:szCs w:val="24"/>
        </w:rPr>
        <w:tab/>
      </w:r>
      <w:r w:rsidRPr="007A269F">
        <w:rPr>
          <w:sz w:val="24"/>
          <w:szCs w:val="24"/>
        </w:rPr>
        <w:t xml:space="preserve">УФК по Ивановской области (Администрация Приволжского муниципального района л/сч 04333203790) ИНН 3719001961, КПП 371901001, код ОКТМО 24620106, банк получателя: ОТДЕЛЕНИЕ ИВАНОВО БАНКА РОССИИ//УФК ПО ИВАНОВСКОЙ ОБЛАСТИ г. Иваново, </w:t>
      </w:r>
      <w:r w:rsidRPr="007A269F">
        <w:rPr>
          <w:sz w:val="24"/>
          <w:szCs w:val="24"/>
        </w:rPr>
        <w:lastRenderedPageBreak/>
        <w:t>БИК 012406500, Единый казначейский счет 40102810645370000025, казначейский счет 03100643000000013300  КБК: 313114</w:t>
      </w:r>
      <w:r>
        <w:rPr>
          <w:sz w:val="24"/>
          <w:szCs w:val="24"/>
        </w:rPr>
        <w:t>02053130000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68369E">
        <w:rPr>
          <w:sz w:val="24"/>
          <w:szCs w:val="24"/>
        </w:rPr>
        <w:t>городского поселения</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C43A06" w:rsidRPr="007A269F" w:rsidRDefault="00C43A06" w:rsidP="00A344E2">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Pr="007A269F">
        <w:rPr>
          <w:sz w:val="24"/>
          <w:szCs w:val="24"/>
        </w:rPr>
        <w:t>УФК по Ивановской области (Администрация Приволжского муниципального района л/сч 04333203790) ИНН 3719001961, КПП 371901001, код ОКТМО 24620106,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313114</w:t>
      </w:r>
      <w:r>
        <w:rPr>
          <w:sz w:val="24"/>
          <w:szCs w:val="24"/>
        </w:rPr>
        <w:t>02053130000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Pr="00C43A06" w:rsidRDefault="001F2892" w:rsidP="00C43A06">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lastRenderedPageBreak/>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062DC7"/>
    <w:rsid w:val="000C4AC1"/>
    <w:rsid w:val="0010417C"/>
    <w:rsid w:val="00122A8F"/>
    <w:rsid w:val="00157DCF"/>
    <w:rsid w:val="00192B64"/>
    <w:rsid w:val="001B2A67"/>
    <w:rsid w:val="001F2892"/>
    <w:rsid w:val="002347C4"/>
    <w:rsid w:val="00302D02"/>
    <w:rsid w:val="003569EA"/>
    <w:rsid w:val="003B2B86"/>
    <w:rsid w:val="003B5045"/>
    <w:rsid w:val="00436B06"/>
    <w:rsid w:val="004D1850"/>
    <w:rsid w:val="004F1807"/>
    <w:rsid w:val="004F2F85"/>
    <w:rsid w:val="005311C7"/>
    <w:rsid w:val="00590911"/>
    <w:rsid w:val="005D4312"/>
    <w:rsid w:val="005E3698"/>
    <w:rsid w:val="005F2BA3"/>
    <w:rsid w:val="006806AF"/>
    <w:rsid w:val="0068369E"/>
    <w:rsid w:val="00712BB8"/>
    <w:rsid w:val="00740D65"/>
    <w:rsid w:val="00760679"/>
    <w:rsid w:val="00793542"/>
    <w:rsid w:val="007A269F"/>
    <w:rsid w:val="007A2F6F"/>
    <w:rsid w:val="007E689C"/>
    <w:rsid w:val="00800EF1"/>
    <w:rsid w:val="00815C91"/>
    <w:rsid w:val="00836889"/>
    <w:rsid w:val="008951E2"/>
    <w:rsid w:val="0093721F"/>
    <w:rsid w:val="009433F8"/>
    <w:rsid w:val="009500B5"/>
    <w:rsid w:val="00984FCA"/>
    <w:rsid w:val="009C6358"/>
    <w:rsid w:val="009D2CCD"/>
    <w:rsid w:val="00A020E8"/>
    <w:rsid w:val="00A0397B"/>
    <w:rsid w:val="00A344E2"/>
    <w:rsid w:val="00A65252"/>
    <w:rsid w:val="00A760E4"/>
    <w:rsid w:val="00AB1E1C"/>
    <w:rsid w:val="00AC368A"/>
    <w:rsid w:val="00AC39A6"/>
    <w:rsid w:val="00AE1CFF"/>
    <w:rsid w:val="00AE2721"/>
    <w:rsid w:val="00AF4567"/>
    <w:rsid w:val="00B770DB"/>
    <w:rsid w:val="00BD64CB"/>
    <w:rsid w:val="00C40291"/>
    <w:rsid w:val="00C43A06"/>
    <w:rsid w:val="00CB305E"/>
    <w:rsid w:val="00D310B5"/>
    <w:rsid w:val="00D46F34"/>
    <w:rsid w:val="00D928C4"/>
    <w:rsid w:val="00DC57D4"/>
    <w:rsid w:val="00DF18A9"/>
    <w:rsid w:val="00E70573"/>
    <w:rsid w:val="00E91D82"/>
    <w:rsid w:val="00F255CC"/>
    <w:rsid w:val="00FB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B146"/>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16</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32</cp:revision>
  <cp:lastPrinted>2021-06-15T11:38:00Z</cp:lastPrinted>
  <dcterms:created xsi:type="dcterms:W3CDTF">2019-10-29T07:32:00Z</dcterms:created>
  <dcterms:modified xsi:type="dcterms:W3CDTF">2021-06-17T11:58:00Z</dcterms:modified>
</cp:coreProperties>
</file>