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P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bookmarkStart w:id="0" w:name="_GoBack"/>
      <w:bookmarkEnd w:id="0"/>
      <w:r w:rsidRPr="00E7312E">
        <w:rPr>
          <w:rFonts w:ascii="Times New Roman" w:eastAsia="Times New Roman" w:hAnsi="Times New Roman"/>
          <w:b/>
          <w:bCs/>
          <w:sz w:val="28"/>
        </w:rPr>
        <w:t>Форма</w:t>
      </w:r>
    </w:p>
    <w:p w:rsidR="00E7312E" w:rsidRDefault="00E7312E" w:rsidP="00DE7B2A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заключения об оценке регулирующего воздействия</w:t>
      </w:r>
      <w:r w:rsidR="00DE7B2A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нормативно правового акта </w:t>
      </w:r>
      <w:bookmarkStart w:id="1" w:name="_Hlk48224321"/>
      <w:r w:rsidRPr="00E7312E">
        <w:rPr>
          <w:rFonts w:ascii="Times New Roman" w:eastAsia="Times New Roman" w:hAnsi="Times New Roman"/>
          <w:b/>
          <w:bCs/>
          <w:sz w:val="28"/>
        </w:rPr>
        <w:t xml:space="preserve">проекта постановления администрации Приволжского муниципального </w:t>
      </w:r>
      <w:r w:rsidRPr="00DE7B2A">
        <w:rPr>
          <w:rFonts w:ascii="Times New Roman" w:eastAsia="Times New Roman" w:hAnsi="Times New Roman" w:cs="Times New Roman"/>
          <w:b/>
          <w:bCs/>
          <w:sz w:val="28"/>
        </w:rPr>
        <w:t xml:space="preserve">района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«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>рынков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</w:rPr>
        <w:t xml:space="preserve">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на 2021-2023 годы»</w:t>
      </w:r>
      <w:r w:rsidR="00DE7B2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</w:rPr>
        <w:t>.</w:t>
      </w:r>
      <w:bookmarkEnd w:id="1"/>
    </w:p>
    <w:p w:rsidR="00DE7B2A" w:rsidRPr="00DE7B2A" w:rsidRDefault="00DE7B2A" w:rsidP="00DE7B2A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E7312E" w:rsidRPr="0062210D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551646" w:rsidRPr="00031900" w:rsidRDefault="00043A94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62210D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DE7B2A" w:rsidRPr="00DE7B2A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на 2021-2023 годы»</w:t>
      </w: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E7B2A" w:rsidRPr="00E46A10" w:rsidRDefault="00AB2F90" w:rsidP="00E46A10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bookmarkStart w:id="2" w:name="_Hlk48057355"/>
      <w:bookmarkStart w:id="3" w:name="_Hlk24534144"/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 xml:space="preserve">рограмма предусматривает оказание государственной поддержки и содействия развитию агропромышленного комплекса Приволжского муниципального района </w:t>
      </w:r>
      <w:bookmarkEnd w:id="2"/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растениеводства;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развитие отрасли животноводства;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развитие технической и технологической модернизации, инновационное развитие сельскохозяйственного производства;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 на поддержку малых форм хозяйствования;</w:t>
      </w:r>
    </w:p>
    <w:p w:rsidR="00551646" w:rsidRPr="0062210D" w:rsidRDefault="00DE7B2A" w:rsidP="00DE7B2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– на комплексное развитие сельских территорий</w:t>
      </w:r>
      <w:r w:rsidR="00551646" w:rsidRPr="0062210D">
        <w:rPr>
          <w:rFonts w:ascii="Times New Roman" w:eastAsia="Times New Roman" w:hAnsi="Times New Roman"/>
          <w:sz w:val="28"/>
        </w:rPr>
        <w:t>.</w:t>
      </w:r>
    </w:p>
    <w:bookmarkEnd w:id="3"/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62210D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Pr="0062210D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 w:rsidRPr="0062210D">
        <w:rPr>
          <w:rFonts w:ascii="Times New Roman" w:eastAsia="Times New Roman" w:hAnsi="Times New Roman"/>
          <w:sz w:val="28"/>
          <w:szCs w:val="28"/>
        </w:rPr>
        <w:t>179 Бюджетного кодекса Российской Федерации, решение Совета Приволжского городского поселения от 28.11.2011 №67 «Об утверждении Положения о бюджетном процессе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2A27CE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 w:rsidRPr="0062210D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DE7B2A" w:rsidRPr="00DE7B2A" w:rsidRDefault="00AB2F90" w:rsidP="00DE7B2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1.5.</w:t>
      </w:r>
      <w:r w:rsidR="00E46A10">
        <w:rPr>
          <w:rFonts w:ascii="Times New Roman" w:eastAsia="Times New Roman" w:hAnsi="Times New Roman"/>
          <w:sz w:val="28"/>
          <w:szCs w:val="28"/>
        </w:rPr>
        <w:t xml:space="preserve"> </w:t>
      </w:r>
      <w:r w:rsidR="00DE7B2A" w:rsidRPr="00DE7B2A"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 достижение следующих целей: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а) увеличение объемов производства и повышение конкурентоспособности сельскохозяйственной продукции, выпускаемой в районе;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б) обеспечение финансовой устойчивости товаропроизводителей агропромышленного комплекса района,</w:t>
      </w:r>
      <w:r w:rsidRPr="00DE7B2A">
        <w:rPr>
          <w:rFonts w:ascii="Times New Roman" w:eastAsia="Times New Roman" w:hAnsi="Times New Roman"/>
          <w:sz w:val="28"/>
          <w:szCs w:val="28"/>
        </w:rPr>
        <w:t xml:space="preserve"> поддержка малых форм хозяйствования;</w:t>
      </w:r>
    </w:p>
    <w:p w:rsidR="00DE7B2A" w:rsidRPr="00DE7B2A" w:rsidRDefault="00DE7B2A" w:rsidP="00DE7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B2A">
        <w:rPr>
          <w:rFonts w:ascii="Times New Roman" w:eastAsia="Times New Roman" w:hAnsi="Times New Roman" w:cs="Times New Roman"/>
          <w:sz w:val="28"/>
          <w:szCs w:val="28"/>
        </w:rPr>
        <w:t>в) воспроизводство и повышение эффективности использования ресурсного потенциала в сельском хозяйстве района.</w:t>
      </w:r>
    </w:p>
    <w:p w:rsidR="00E7312E" w:rsidRPr="0062210D" w:rsidRDefault="0041073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.</w:t>
      </w:r>
      <w:r w:rsidR="00AB2F90"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Проект предполагаемого правового регулирования </w:t>
      </w:r>
      <w:r w:rsidR="006427CB" w:rsidRPr="0062210D">
        <w:rPr>
          <w:rFonts w:ascii="Times New Roman" w:eastAsia="Times New Roman" w:hAnsi="Times New Roman"/>
          <w:sz w:val="28"/>
          <w:szCs w:val="28"/>
        </w:rPr>
        <w:t xml:space="preserve">предусматривает </w:t>
      </w:r>
      <w:r w:rsidR="00031900">
        <w:rPr>
          <w:rFonts w:ascii="Times New Roman" w:eastAsia="Times New Roman" w:hAnsi="Times New Roman"/>
          <w:sz w:val="28"/>
          <w:szCs w:val="28"/>
        </w:rPr>
        <w:t xml:space="preserve">предоставление субсидий 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B930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035" w:rsidRPr="00DE7B2A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 Приволжского муниципального района</w:t>
      </w:r>
      <w:r w:rsidR="0003190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62210D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2210D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Должность: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2210D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 w:rsidRPr="0062210D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2210D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62210D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6221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Pr="0062210D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62210D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</w:t>
      </w:r>
      <w:r w:rsidRPr="0062210D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 w:rsidRPr="0062210D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 xml:space="preserve">– недостаточные темпы социального и инфраструктурного развития сельских территорий;      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опережающий рост цен на промышленную продукцию, энергоресурсы по сравнению с ценами на сельскохозяйственную продукцию;</w:t>
      </w:r>
    </w:p>
    <w:p w:rsidR="001C6BB3" w:rsidRPr="001C6BB3" w:rsidRDefault="001C6BB3" w:rsidP="001C6BB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BB3">
        <w:rPr>
          <w:rFonts w:ascii="Times New Roman" w:eastAsia="Times New Roman" w:hAnsi="Times New Roman" w:cs="Times New Roman"/>
          <w:sz w:val="28"/>
          <w:szCs w:val="28"/>
        </w:rPr>
        <w:t>– 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E7312E" w:rsidRPr="0062210D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2210D" w:rsidRDefault="001C6BB3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достаточно высокий уровень развития сельского хозяйства, а </w:t>
      </w:r>
      <w:r w:rsidR="00E2344F"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z w:val="28"/>
          <w:szCs w:val="28"/>
        </w:rPr>
        <w:t xml:space="preserve"> низкий уровень использования земельных ресурсов района.</w:t>
      </w:r>
    </w:p>
    <w:p w:rsidR="00E7312E" w:rsidRPr="0062210D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Pr="0062210D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221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62210D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 xml:space="preserve">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Информация получена в результате взаимодействия с </w:t>
      </w:r>
      <w:r w:rsidR="001C6BB3">
        <w:rPr>
          <w:rFonts w:ascii="Times New Roman" w:eastAsia="Times New Roman" w:hAnsi="Times New Roman"/>
          <w:sz w:val="28"/>
          <w:szCs w:val="28"/>
        </w:rPr>
        <w:t>сельхозтоваропроизводителями.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5416B0" w:rsidRDefault="00BB075C" w:rsidP="00AB2F90">
      <w:pPr>
        <w:spacing w:line="0" w:lineRule="atLeast"/>
        <w:ind w:left="80"/>
        <w:jc w:val="both"/>
        <w:rPr>
          <w:rFonts w:ascii="Times New Roman CYR" w:eastAsia="Times New Roman" w:hAnsi="Times New Roman CYR" w:cs="Times New Roman"/>
          <w:color w:val="000000"/>
          <w:spacing w:val="1"/>
          <w:sz w:val="28"/>
        </w:rPr>
      </w:pPr>
      <w:bookmarkStart w:id="4" w:name="page24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  <w:r w:rsidR="005416B0"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</w:p>
    <w:p w:rsidR="00E7312E" w:rsidRPr="00FF7D69" w:rsidRDefault="005416B0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«</w:t>
      </w:r>
      <w:r w:rsidRPr="005416B0">
        <w:rPr>
          <w:rFonts w:ascii="Times New Roman CYR" w:eastAsia="Times New Roman" w:hAnsi="Times New Roman CYR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Pr="005416B0">
        <w:rPr>
          <w:rFonts w:ascii="Times New Roman CYR" w:eastAsia="Times New Roman" w:hAnsi="Times New Roman CYR" w:cs="Times New Roman"/>
          <w:color w:val="000000"/>
          <w:spacing w:val="5"/>
          <w:sz w:val="28"/>
        </w:rPr>
        <w:t>рынков сельскохозяйственной продукции, сырья и продовольствия в Приволжском муниципальном районе на</w:t>
      </w:r>
      <w:r w:rsidRPr="005416B0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 xml:space="preserve"> 202</w:t>
      </w:r>
      <w:r w:rsidR="003B3858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1</w:t>
      </w:r>
      <w:r w:rsidRPr="005416B0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-202</w:t>
      </w:r>
      <w:r w:rsidR="003B3858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>3</w:t>
      </w:r>
      <w:r w:rsidRPr="005416B0">
        <w:rPr>
          <w:rFonts w:ascii="Times New Roman CYR" w:eastAsia="Times New Roman" w:hAnsi="Times New Roman CYR" w:cs="Times New Roman"/>
          <w:color w:val="000000"/>
          <w:spacing w:val="3"/>
          <w:sz w:val="28"/>
        </w:rPr>
        <w:t xml:space="preserve"> годы»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утвержденная 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Постановление администрации Приволжского муниципального района от 2</w:t>
      </w:r>
      <w:r w:rsidR="003B3858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4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.08.20</w:t>
      </w:r>
      <w:r w:rsidR="003B3858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20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 xml:space="preserve"> № </w:t>
      </w:r>
      <w:r w:rsidR="003B3858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377</w:t>
      </w:r>
      <w:r w:rsidRPr="005416B0"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-п</w:t>
      </w:r>
      <w:r>
        <w:rPr>
          <w:rFonts w:ascii="Times New Roman CYR" w:eastAsia="Times New Roman" w:hAnsi="Times New Roman CYR" w:cs="Times New Roman"/>
          <w:color w:val="000000"/>
          <w:spacing w:val="1"/>
          <w:sz w:val="28"/>
        </w:rPr>
        <w:t>.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P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</w:tc>
      </w:tr>
      <w:tr w:rsidR="00E7312E" w:rsidRPr="00F909F0" w:rsidTr="0062210D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B0" w:rsidRPr="005416B0" w:rsidRDefault="005416B0" w:rsidP="00541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производства сельскохозяйственной продукции, обеспечение финансовой устойчивости товаропроизводителей</w:t>
            </w:r>
            <w:r w:rsidR="003B3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гропромышленного комплекса района,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416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поддержка малых форм хозяйствования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416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и повышение эффективности использования ресурсного потенциала в сельском хозяйстве района.</w:t>
            </w:r>
          </w:p>
          <w:p w:rsidR="00946B5B" w:rsidRPr="00BB075C" w:rsidRDefault="00946B5B" w:rsidP="0062210D">
            <w:pPr>
              <w:spacing w:line="237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12E" w:rsidRPr="0062210D" w:rsidRDefault="005A50D4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 w:rsidR="003B38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B3858" w:rsidRDefault="00906AEE" w:rsidP="003B3858">
      <w:pPr>
        <w:spacing w:line="237" w:lineRule="auto"/>
        <w:ind w:left="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Соответствуют статьи 179 Бюджетного кодекса Российской Федерации, </w:t>
      </w:r>
      <w:r w:rsidR="003B3858" w:rsidRPr="003B385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Ивановской области от 13.11.2013 № 451-п «Об утверждении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постановлением администрации Приволжского муниципального района от 04</w:t>
      </w:r>
      <w:r w:rsidR="003B3858" w:rsidRPr="003B38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района»</w:t>
      </w:r>
    </w:p>
    <w:p w:rsidR="00E7312E" w:rsidRDefault="00BB075C" w:rsidP="003B3858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5416B0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5416B0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7B5155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7B5155">
        <w:rPr>
          <w:rFonts w:ascii="Times New Roman" w:eastAsia="Times New Roman" w:hAnsi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</w:p>
    <w:p w:rsidR="002C07D1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302D57">
        <w:rPr>
          <w:rFonts w:ascii="Times New Roman" w:eastAsia="Times New Roman" w:hAnsi="Times New Roman"/>
          <w:sz w:val="28"/>
          <w:szCs w:val="28"/>
        </w:rPr>
        <w:t>Принятие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 позволит </w:t>
      </w:r>
      <w:r w:rsidR="00946B5B">
        <w:rPr>
          <w:rFonts w:ascii="Times New Roman" w:eastAsia="Times New Roman" w:hAnsi="Times New Roman"/>
          <w:sz w:val="28"/>
          <w:szCs w:val="28"/>
        </w:rPr>
        <w:t xml:space="preserve">расширить </w:t>
      </w:r>
      <w:r w:rsidR="002C07D1">
        <w:rPr>
          <w:rFonts w:ascii="Times New Roman" w:eastAsia="Times New Roman" w:hAnsi="Times New Roman"/>
          <w:sz w:val="28"/>
          <w:szCs w:val="28"/>
        </w:rPr>
        <w:t>поддержку сельхозтоваропроизводителей</w:t>
      </w:r>
      <w:r w:rsidR="005416B0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5416B0">
        <w:rPr>
          <w:rFonts w:ascii="Times New Roman" w:eastAsia="Times New Roman" w:hAnsi="Times New Roman"/>
          <w:sz w:val="28"/>
          <w:szCs w:val="28"/>
        </w:rPr>
        <w:t>будут способствовать увеличению производства сельскохозяйственной продукции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7B5155" w:rsidRDefault="007B5155" w:rsidP="00BB075C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Возникновение дополнительных издержек при принятии проекта постановления не предполагается.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8E40BA" w:rsidRDefault="00906AEE" w:rsidP="008E40BA">
      <w:pPr>
        <w:spacing w:line="237" w:lineRule="auto"/>
        <w:ind w:left="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</w:t>
      </w:r>
      <w:r w:rsidR="008E40BA" w:rsidRPr="008E40B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Ивановской области от 13.11.2013 № 451-п «Об утверждении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постановлением администрации Приволжского муниципального района от 04</w:t>
      </w:r>
      <w:r w:rsidR="008E40BA" w:rsidRPr="008E40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района»</w:t>
      </w:r>
    </w:p>
    <w:p w:rsidR="00E7312E" w:rsidRPr="009D25EE" w:rsidRDefault="00BB075C" w:rsidP="008E40BA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060A98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5" w:name="page25"/>
            <w:bookmarkEnd w:id="5"/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060A98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60A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Pr="00060A98">
                <w:rPr>
                  <w:rFonts w:ascii="Times New Roman" w:hAnsi="Times New Roman" w:cs="Times New Roman"/>
                  <w:color w:val="0000FF"/>
                  <w:u w:val="single"/>
                </w:rPr>
                <w:t>https://privadmin.ru/</w:t>
              </w:r>
            </w:hyperlink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</w:t>
      </w:r>
      <w:r w:rsidR="00106C4C" w:rsidRPr="009D25EE">
        <w:rPr>
          <w:rFonts w:ascii="Times New Roman" w:eastAsia="Times New Roman" w:hAnsi="Times New Roman"/>
          <w:sz w:val="28"/>
          <w:szCs w:val="28"/>
        </w:rPr>
        <w:t>поступлений в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</w:t>
      </w:r>
      <w:r w:rsidR="00472C82">
        <w:rPr>
          <w:rFonts w:ascii="Times New Roman" w:eastAsia="Times New Roman" w:hAnsi="Times New Roman"/>
          <w:sz w:val="28"/>
          <w:szCs w:val="28"/>
        </w:rPr>
        <w:t>1</w:t>
      </w:r>
      <w:r w:rsidRPr="00E27E0E">
        <w:rPr>
          <w:rFonts w:ascii="Times New Roman" w:eastAsia="Times New Roman" w:hAnsi="Times New Roman"/>
          <w:sz w:val="28"/>
          <w:szCs w:val="28"/>
        </w:rPr>
        <w:t>. Итого 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472C82">
        <w:rPr>
          <w:rFonts w:ascii="Times New Roman" w:eastAsia="Times New Roman" w:hAnsi="Times New Roman"/>
          <w:sz w:val="28"/>
          <w:szCs w:val="28"/>
        </w:rPr>
        <w:t>722460,73</w:t>
      </w:r>
      <w:r w:rsidR="00C53580">
        <w:rPr>
          <w:rFonts w:ascii="Times New Roman" w:eastAsia="Times New Roman" w:hAnsi="Times New Roman"/>
          <w:sz w:val="28"/>
          <w:szCs w:val="28"/>
        </w:rPr>
        <w:t xml:space="preserve"> </w:t>
      </w:r>
      <w:r w:rsidR="00906AEE">
        <w:rPr>
          <w:rFonts w:ascii="Times New Roman" w:eastAsia="Times New Roman" w:hAnsi="Times New Roman"/>
          <w:sz w:val="28"/>
          <w:szCs w:val="28"/>
        </w:rPr>
        <w:t>руб</w:t>
      </w:r>
      <w:r w:rsidR="002C07D1">
        <w:rPr>
          <w:rFonts w:ascii="Times New Roman" w:eastAsia="Times New Roman" w:hAnsi="Times New Roman"/>
          <w:sz w:val="28"/>
          <w:szCs w:val="28"/>
        </w:rPr>
        <w:t>.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</w:t>
      </w:r>
      <w:r w:rsidR="00472C82">
        <w:rPr>
          <w:rFonts w:ascii="Times New Roman" w:eastAsia="Times New Roman" w:hAnsi="Times New Roman"/>
          <w:sz w:val="28"/>
          <w:szCs w:val="28"/>
        </w:rPr>
        <w:t>2.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</w:t>
      </w:r>
      <w:r w:rsidR="00472C82">
        <w:rPr>
          <w:rFonts w:ascii="Times New Roman" w:eastAsia="Times New Roman" w:hAnsi="Times New Roman"/>
          <w:sz w:val="28"/>
          <w:szCs w:val="28"/>
        </w:rPr>
        <w:t>3</w:t>
      </w:r>
      <w:r w:rsidRPr="00E27E0E">
        <w:rPr>
          <w:rFonts w:ascii="Times New Roman" w:eastAsia="Times New Roman" w:hAnsi="Times New Roman"/>
          <w:sz w:val="28"/>
          <w:szCs w:val="28"/>
        </w:rPr>
        <w:t>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</w:t>
      </w:r>
      <w:r w:rsidR="00472C82">
        <w:rPr>
          <w:rFonts w:ascii="Times New Roman" w:eastAsia="Times New Roman" w:hAnsi="Times New Roman"/>
          <w:sz w:val="28"/>
          <w:szCs w:val="28"/>
        </w:rPr>
        <w:t>4</w:t>
      </w:r>
      <w:r w:rsidRPr="00E27E0E">
        <w:rPr>
          <w:rFonts w:ascii="Times New Roman" w:eastAsia="Times New Roman" w:hAnsi="Times New Roman"/>
          <w:sz w:val="28"/>
          <w:szCs w:val="28"/>
        </w:rPr>
        <w:t>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</w:t>
      </w:r>
      <w:r w:rsidR="00472C82">
        <w:rPr>
          <w:rFonts w:ascii="Times New Roman" w:eastAsia="Times New Roman" w:hAnsi="Times New Roman"/>
          <w:sz w:val="28"/>
          <w:szCs w:val="28"/>
        </w:rPr>
        <w:t>5</w:t>
      </w:r>
      <w:r w:rsidRPr="00E27E0E">
        <w:rPr>
          <w:rFonts w:ascii="Times New Roman" w:eastAsia="Times New Roman" w:hAnsi="Times New Roman"/>
          <w:sz w:val="28"/>
          <w:szCs w:val="28"/>
        </w:rPr>
        <w:t>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page26"/>
      <w:bookmarkEnd w:id="6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Новые обязанности или ограничения </w:t>
      </w:r>
      <w:bookmarkStart w:id="7" w:name="_Hlk48223767"/>
      <w:r w:rsidR="00106C4C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bookmarkEnd w:id="7"/>
      <w:r w:rsidR="00E7312E" w:rsidRPr="00E27E0E">
        <w:rPr>
          <w:rFonts w:ascii="Times New Roman" w:eastAsia="Times New Roman" w:hAnsi="Times New Roman"/>
          <w:sz w:val="28"/>
          <w:szCs w:val="28"/>
        </w:rPr>
        <w:t xml:space="preserve">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98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569"/>
        <w:gridCol w:w="3200"/>
      </w:tblGrid>
      <w:tr w:rsidR="00E27E0E" w:rsidRPr="00E27E0E" w:rsidTr="00C53580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C53580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C53580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2C07D1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Сельхозтоваропроизводители (за исключением ЛПХ)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</w:tbl>
    <w:p w:rsidR="00E7312E" w:rsidRPr="009D25EE" w:rsidRDefault="00E27E0E" w:rsidP="00E2344F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расходов </w:t>
      </w:r>
      <w:r w:rsidR="00E2344F">
        <w:rPr>
          <w:rFonts w:ascii="Times New Roman" w:eastAsia="Times New Roman" w:hAnsi="Times New Roman"/>
          <w:sz w:val="28"/>
          <w:szCs w:val="28"/>
        </w:rPr>
        <w:t>сельхозтоваропроизводителей (кроме граждан ведущих личное подсобное хозяйство)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, связанных с необходимостью соблюдения установленных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  <w:r w:rsidR="00E2344F">
        <w:rPr>
          <w:rFonts w:ascii="Times New Roman" w:eastAsia="Times New Roman" w:hAnsi="Times New Roman"/>
          <w:sz w:val="28"/>
          <w:szCs w:val="28"/>
        </w:rPr>
        <w:t>: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D25EE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либо необходимости распространения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>предлагаемого регулирования на ранее возникшие отношения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53693C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</w:t>
      </w:r>
      <w:r w:rsidR="00472C82">
        <w:rPr>
          <w:rFonts w:ascii="Times New Roman" w:eastAsia="Times New Roman" w:hAnsi="Times New Roman"/>
          <w:sz w:val="28"/>
          <w:szCs w:val="28"/>
        </w:rPr>
        <w:t>5.08.2021</w:t>
      </w:r>
      <w:r w:rsidR="002F14D2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11.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1. 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акта: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C07D1">
        <w:rPr>
          <w:rFonts w:ascii="Times New Roman" w:eastAsia="Times New Roman" w:hAnsi="Times New Roman"/>
          <w:sz w:val="28"/>
          <w:szCs w:val="28"/>
        </w:rPr>
        <w:t>0</w:t>
      </w:r>
      <w:r w:rsidR="00472C82">
        <w:rPr>
          <w:rFonts w:ascii="Times New Roman" w:eastAsia="Times New Roman" w:hAnsi="Times New Roman"/>
          <w:sz w:val="28"/>
          <w:szCs w:val="28"/>
        </w:rPr>
        <w:t>5.05.202</w:t>
      </w:r>
      <w:r w:rsidR="002C07D1">
        <w:rPr>
          <w:rFonts w:ascii="Times New Roman" w:eastAsia="Times New Roman" w:hAnsi="Times New Roman"/>
          <w:sz w:val="28"/>
          <w:szCs w:val="28"/>
        </w:rPr>
        <w:t>1г.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page27"/>
      <w:bookmarkEnd w:id="8"/>
    </w:p>
    <w:p w:rsidR="00E7312E" w:rsidRPr="002F14D2" w:rsidRDefault="00E27E0E" w:rsidP="00E2344F">
      <w:pPr>
        <w:spacing w:line="235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D9041D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61483B" w:rsidRDefault="0061483B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7D1" w:rsidRPr="002C07D1" w:rsidRDefault="00644909" w:rsidP="00D9041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72C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07D1" w:rsidRPr="002C07D1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посевных площадей, засеваемых элитными семенами </w:t>
            </w:r>
          </w:p>
          <w:p w:rsidR="002C07D1" w:rsidRPr="002C07D1" w:rsidRDefault="002C07D1" w:rsidP="002C07D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7D1">
              <w:rPr>
                <w:rFonts w:ascii="Times New Roman" w:eastAsia="Times New Roman" w:hAnsi="Times New Roman"/>
                <w:sz w:val="24"/>
                <w:szCs w:val="24"/>
              </w:rPr>
              <w:t>2. Развитие отрасли животноводства и реализации продукции животноводства</w:t>
            </w:r>
          </w:p>
          <w:p w:rsidR="00D9041D" w:rsidRPr="00D9041D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Ввод в действие  распределительных газовых сетей</w:t>
            </w:r>
          </w:p>
          <w:p w:rsidR="00D9041D" w:rsidRPr="00D9041D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Ввод в действие локальных водопроводов</w:t>
            </w:r>
          </w:p>
          <w:p w:rsidR="00E27E0E" w:rsidRDefault="00D9041D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Строительство плоскостных спортивных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72C82" w:rsidRDefault="00472C82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Обустройство площадок ТКО</w:t>
            </w:r>
          </w:p>
          <w:p w:rsidR="00472C82" w:rsidRPr="00E27E0E" w:rsidRDefault="00472C82" w:rsidP="00D9041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r w:rsidR="00E7527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бустройство общественного колодца</w:t>
            </w:r>
            <w:r w:rsidR="00E75276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E75276">
              <w:rPr>
                <w:rFonts w:ascii="Times New Roman" w:eastAsia="Times New Roman" w:hAnsi="Times New Roman"/>
                <w:sz w:val="24"/>
                <w:szCs w:val="24"/>
              </w:rPr>
              <w:t>д.Грязки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D9041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9041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644909" w:rsidRDefault="0064490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D9041D" w:rsidRPr="00D9041D" w:rsidRDefault="00D9041D" w:rsidP="00D9041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 xml:space="preserve">  В результате реализации программы валовой сбор зерна к 2023 году составит 6800 тонн, картофеля – до 6400 тонн, овощей – до 7350 тонн.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      </w:r>
          </w:p>
          <w:p w:rsidR="00D9041D" w:rsidRPr="00D9041D" w:rsidRDefault="00D9041D" w:rsidP="00D9041D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Валовое производство молока в 2023 году составит 3501 тонн. Производство (реализация) скота и птицы (в живом весе) к 2023 году составит 500,0 тонн.</w:t>
            </w:r>
          </w:p>
          <w:p w:rsidR="00644909" w:rsidRPr="00E27E0E" w:rsidRDefault="00D9041D" w:rsidP="00E2344F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41D">
              <w:rPr>
                <w:rFonts w:ascii="Times New Roman" w:eastAsia="Times New Roman" w:hAnsi="Times New Roman"/>
                <w:sz w:val="24"/>
                <w:szCs w:val="24"/>
              </w:rPr>
              <w:t>Среднемесячная заработная плата в сельском хозяйстве увеличится до       19900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344F" w:rsidRDefault="00E2344F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E2344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E2344F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E75276">
              <w:rPr>
                <w:rFonts w:ascii="Times New Roman" w:eastAsia="Times New Roman" w:hAnsi="Times New Roman"/>
                <w:sz w:val="24"/>
                <w:szCs w:val="24"/>
              </w:rPr>
              <w:t>722460,73</w:t>
            </w:r>
            <w:r w:rsidR="00A223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E75276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бюджет, </w:t>
            </w:r>
          </w:p>
          <w:p w:rsidR="00E75276" w:rsidRDefault="00E75276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бюджет,</w:t>
            </w:r>
          </w:p>
          <w:p w:rsidR="00A22305" w:rsidRDefault="00E2344F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Приволжского муниципального района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</w:t>
      </w:r>
      <w:r w:rsidR="00E2344F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оценки достижения заявленных целей регулирования:</w:t>
      </w:r>
    </w:p>
    <w:p w:rsidR="0080699A" w:rsidRPr="0080699A" w:rsidRDefault="00E2344F" w:rsidP="00E2344F">
      <w:pPr>
        <w:spacing w:line="234" w:lineRule="auto"/>
        <w:ind w:left="80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0699A"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2344F">
      <w:pPr>
        <w:spacing w:line="89" w:lineRule="exact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E2344F">
      <w:pPr>
        <w:spacing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E2344F">
      <w:pPr>
        <w:spacing w:line="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E2344F">
      <w:pPr>
        <w:spacing w:line="11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E2344F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ge28"/>
      <w:bookmarkEnd w:id="9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62210D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27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E7527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E7527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E75276"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="006C12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0C3BB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7527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3542" w:rsidRPr="0005782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FA5E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514E3B" w:rsidRDefault="00A22305" w:rsidP="000C3BBF">
      <w:pPr>
        <w:spacing w:line="0" w:lineRule="atLeast"/>
        <w:ind w:right="-7" w:firstLine="708"/>
        <w:jc w:val="both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муниципального района пришел к выводу об отсутствии в проекте </w:t>
      </w:r>
      <w:r w:rsidR="00514E3B" w:rsidRPr="00514E3B">
        <w:rPr>
          <w:rFonts w:ascii="Times New Roman" w:eastAsia="Times New Roman" w:hAnsi="Times New Roman"/>
          <w:sz w:val="28"/>
        </w:rPr>
        <w:t xml:space="preserve"> постановления администрации Приволжского муниципального </w:t>
      </w:r>
      <w:r w:rsidR="00514E3B" w:rsidRPr="00514E3B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>«</w:t>
      </w:r>
      <w:r w:rsidR="00514E3B" w:rsidRPr="00514E3B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Развитие сельского хозяйства и регулирование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514E3B" w:rsidRPr="00514E3B">
        <w:rPr>
          <w:rFonts w:ascii="Times New Roman" w:eastAsia="Times New Roman" w:hAnsi="Times New Roman" w:cs="Times New Roman"/>
          <w:color w:val="000000"/>
          <w:spacing w:val="3"/>
          <w:sz w:val="28"/>
        </w:rPr>
        <w:t>на 2021-2023 годы».</w:t>
      </w:r>
    </w:p>
    <w:p w:rsidR="00B03542" w:rsidRPr="00514E3B" w:rsidRDefault="00B03542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514E3B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514E3B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C42BFD" w:rsidRDefault="00C42BFD"/>
    <w:sectPr w:rsidR="00C42BFD" w:rsidSect="00E2344F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31900"/>
    <w:rsid w:val="00043A94"/>
    <w:rsid w:val="00057829"/>
    <w:rsid w:val="00060A98"/>
    <w:rsid w:val="000C3BBF"/>
    <w:rsid w:val="00106C4C"/>
    <w:rsid w:val="001271BC"/>
    <w:rsid w:val="00143C30"/>
    <w:rsid w:val="001C6BB3"/>
    <w:rsid w:val="002003B9"/>
    <w:rsid w:val="002102ED"/>
    <w:rsid w:val="00240C21"/>
    <w:rsid w:val="00244EE8"/>
    <w:rsid w:val="002A27CE"/>
    <w:rsid w:val="002C07D1"/>
    <w:rsid w:val="002F14D2"/>
    <w:rsid w:val="00302D57"/>
    <w:rsid w:val="00315DA3"/>
    <w:rsid w:val="003727F6"/>
    <w:rsid w:val="003B1530"/>
    <w:rsid w:val="003B3858"/>
    <w:rsid w:val="00405E4A"/>
    <w:rsid w:val="00410735"/>
    <w:rsid w:val="00447612"/>
    <w:rsid w:val="004722CA"/>
    <w:rsid w:val="00472C82"/>
    <w:rsid w:val="00480B9C"/>
    <w:rsid w:val="00514E3B"/>
    <w:rsid w:val="0053693C"/>
    <w:rsid w:val="005416B0"/>
    <w:rsid w:val="00551646"/>
    <w:rsid w:val="005A50D4"/>
    <w:rsid w:val="005B0EEA"/>
    <w:rsid w:val="0061483B"/>
    <w:rsid w:val="0062210D"/>
    <w:rsid w:val="0063677A"/>
    <w:rsid w:val="006427CB"/>
    <w:rsid w:val="00644909"/>
    <w:rsid w:val="00662F57"/>
    <w:rsid w:val="0068367D"/>
    <w:rsid w:val="006C126F"/>
    <w:rsid w:val="006E07E3"/>
    <w:rsid w:val="006F170A"/>
    <w:rsid w:val="00751AC8"/>
    <w:rsid w:val="007716ED"/>
    <w:rsid w:val="007B5155"/>
    <w:rsid w:val="0080699A"/>
    <w:rsid w:val="008E40BA"/>
    <w:rsid w:val="00906AEE"/>
    <w:rsid w:val="00946B5B"/>
    <w:rsid w:val="009D25EE"/>
    <w:rsid w:val="00A10006"/>
    <w:rsid w:val="00A22305"/>
    <w:rsid w:val="00AB2F90"/>
    <w:rsid w:val="00AB41F2"/>
    <w:rsid w:val="00AD21D9"/>
    <w:rsid w:val="00AE355E"/>
    <w:rsid w:val="00AF4CCD"/>
    <w:rsid w:val="00B03542"/>
    <w:rsid w:val="00B93035"/>
    <w:rsid w:val="00BB075C"/>
    <w:rsid w:val="00C42BFD"/>
    <w:rsid w:val="00C53580"/>
    <w:rsid w:val="00C70E7B"/>
    <w:rsid w:val="00D62796"/>
    <w:rsid w:val="00D9041D"/>
    <w:rsid w:val="00DA55A6"/>
    <w:rsid w:val="00DA734A"/>
    <w:rsid w:val="00DE7B2A"/>
    <w:rsid w:val="00E2344F"/>
    <w:rsid w:val="00E27E0E"/>
    <w:rsid w:val="00E46A10"/>
    <w:rsid w:val="00E515E9"/>
    <w:rsid w:val="00E56DD5"/>
    <w:rsid w:val="00E7312E"/>
    <w:rsid w:val="00E75276"/>
    <w:rsid w:val="00EC1785"/>
    <w:rsid w:val="00F23566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06F3-9BF5-4C5E-AEB1-3153717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2022-01-12T08:17:00Z</cp:lastPrinted>
  <dcterms:created xsi:type="dcterms:W3CDTF">2022-01-14T07:14:00Z</dcterms:created>
  <dcterms:modified xsi:type="dcterms:W3CDTF">2022-01-14T07:14:00Z</dcterms:modified>
</cp:coreProperties>
</file>