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51" w:rsidRDefault="00787A7F" w:rsidP="00664E51">
      <w:pPr>
        <w:tabs>
          <w:tab w:val="left" w:pos="5205"/>
        </w:tabs>
        <w:jc w:val="center"/>
        <w:rPr>
          <w:sz w:val="28"/>
          <w:szCs w:val="20"/>
        </w:rPr>
      </w:pPr>
      <w:r w:rsidRPr="00787A7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3810</wp:posOffset>
                </wp:positionV>
                <wp:extent cx="809625" cy="3429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7F" w:rsidRDefault="00787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75pt;margin-top:.3pt;width:63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" stroked="f">
                <v:textbox>
                  <w:txbxContent>
                    <w:p w:rsidR="00787A7F" w:rsidRDefault="00787A7F"/>
                  </w:txbxContent>
                </v:textbox>
              </v:shape>
            </w:pict>
          </mc:Fallback>
        </mc:AlternateContent>
      </w:r>
      <w:r w:rsidR="00ED0F9B">
        <w:rPr>
          <w:noProof/>
          <w:sz w:val="28"/>
          <w:szCs w:val="20"/>
        </w:rPr>
        <w:drawing>
          <wp:inline distT="0" distB="0" distL="0" distR="0" wp14:anchorId="48343262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E51">
        <w:rPr>
          <w:sz w:val="28"/>
        </w:rPr>
        <w:br w:type="textWrapping" w:clear="all"/>
      </w:r>
    </w:p>
    <w:p w:rsidR="00664E51" w:rsidRPr="00ED0F9B" w:rsidRDefault="00ED0F9B" w:rsidP="00664E51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664E51" w:rsidRPr="00664E51" w:rsidRDefault="00664E51" w:rsidP="00664E51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664E51" w:rsidRDefault="00664E51" w:rsidP="00664E51">
      <w:pPr>
        <w:jc w:val="center"/>
      </w:pPr>
    </w:p>
    <w:p w:rsidR="00664E51" w:rsidRDefault="00BE488A" w:rsidP="00E863E6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>о</w:t>
      </w:r>
      <w:r w:rsidR="00377D7D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A30E60">
        <w:rPr>
          <w:b/>
          <w:sz w:val="28"/>
        </w:rPr>
        <w:t>24.02.2022</w:t>
      </w:r>
      <w:r>
        <w:rPr>
          <w:b/>
          <w:sz w:val="28"/>
        </w:rPr>
        <w:t xml:space="preserve">                     </w:t>
      </w:r>
      <w:r w:rsidR="00A30E60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</w:t>
      </w:r>
      <w:r w:rsidR="00E863E6">
        <w:rPr>
          <w:b/>
          <w:sz w:val="28"/>
        </w:rPr>
        <w:t xml:space="preserve">№ </w:t>
      </w:r>
      <w:r w:rsidR="00A30E60">
        <w:rPr>
          <w:b/>
          <w:sz w:val="28"/>
        </w:rPr>
        <w:t>11</w:t>
      </w:r>
    </w:p>
    <w:p w:rsidR="00664E51" w:rsidRDefault="00664E51" w:rsidP="00A30E60">
      <w:pPr>
        <w:tabs>
          <w:tab w:val="left" w:pos="1620"/>
        </w:tabs>
        <w:rPr>
          <w:b/>
          <w:sz w:val="28"/>
        </w:rPr>
      </w:pPr>
    </w:p>
    <w:p w:rsidR="00BE488A" w:rsidRPr="00664E51" w:rsidRDefault="00664E51" w:rsidP="00BE488A">
      <w:pPr>
        <w:jc w:val="center"/>
        <w:rPr>
          <w:b/>
          <w:bCs/>
          <w:i/>
          <w:iCs/>
          <w:color w:val="000000"/>
        </w:rPr>
      </w:pPr>
      <w:r w:rsidRPr="00D16ADB">
        <w:rPr>
          <w:b/>
          <w:bCs/>
          <w:color w:val="000000"/>
          <w:sz w:val="28"/>
          <w:szCs w:val="28"/>
        </w:rPr>
        <w:t xml:space="preserve">Об утверждении </w:t>
      </w:r>
      <w:r w:rsidR="00BE488A">
        <w:rPr>
          <w:b/>
          <w:bCs/>
          <w:color w:val="000000"/>
          <w:sz w:val="28"/>
          <w:szCs w:val="28"/>
        </w:rPr>
        <w:t>ключевых и и</w:t>
      </w:r>
      <w:r w:rsidR="00BE488A" w:rsidRPr="00BE488A">
        <w:rPr>
          <w:b/>
          <w:bCs/>
          <w:color w:val="000000"/>
          <w:sz w:val="28"/>
          <w:szCs w:val="28"/>
        </w:rPr>
        <w:t>ндикативны</w:t>
      </w:r>
      <w:r w:rsidR="004A0D67">
        <w:rPr>
          <w:b/>
          <w:bCs/>
          <w:color w:val="000000"/>
          <w:sz w:val="28"/>
          <w:szCs w:val="28"/>
        </w:rPr>
        <w:t>х</w:t>
      </w:r>
      <w:r w:rsidR="00BE488A" w:rsidRPr="00BE488A">
        <w:rPr>
          <w:b/>
          <w:bCs/>
          <w:color w:val="000000"/>
          <w:sz w:val="28"/>
          <w:szCs w:val="28"/>
        </w:rPr>
        <w:t xml:space="preserve"> показател</w:t>
      </w:r>
      <w:r w:rsidR="004A0D67">
        <w:rPr>
          <w:b/>
          <w:bCs/>
          <w:color w:val="000000"/>
          <w:sz w:val="28"/>
          <w:szCs w:val="28"/>
        </w:rPr>
        <w:t>ей</w:t>
      </w:r>
      <w:r w:rsidR="00BE488A" w:rsidRPr="00BE488A">
        <w:rPr>
          <w:b/>
          <w:bCs/>
          <w:color w:val="000000"/>
          <w:sz w:val="28"/>
          <w:szCs w:val="28"/>
        </w:rPr>
        <w:t>, применяемы</w:t>
      </w:r>
      <w:r w:rsidR="004A0D67">
        <w:rPr>
          <w:b/>
          <w:bCs/>
          <w:color w:val="000000"/>
          <w:sz w:val="28"/>
          <w:szCs w:val="28"/>
        </w:rPr>
        <w:t>х</w:t>
      </w:r>
      <w:r w:rsidR="00BE488A" w:rsidRPr="00BE488A">
        <w:rPr>
          <w:b/>
          <w:bCs/>
          <w:color w:val="000000"/>
          <w:sz w:val="28"/>
          <w:szCs w:val="28"/>
        </w:rPr>
        <w:t xml:space="preserve"> </w:t>
      </w:r>
      <w:r w:rsidR="004A0D67">
        <w:rPr>
          <w:b/>
          <w:bCs/>
          <w:color w:val="000000"/>
          <w:sz w:val="28"/>
          <w:szCs w:val="28"/>
        </w:rPr>
        <w:t>а</w:t>
      </w:r>
      <w:r w:rsidR="00BE488A" w:rsidRPr="00BE488A">
        <w:rPr>
          <w:b/>
          <w:bCs/>
          <w:color w:val="000000"/>
          <w:sz w:val="28"/>
          <w:szCs w:val="28"/>
        </w:rPr>
        <w:t xml:space="preserve">дминистрацией Приволжского муниципального района, при осуществлении муниципального земельного контроля </w:t>
      </w:r>
      <w:r w:rsidR="00BE488A" w:rsidRPr="00D16ADB">
        <w:rPr>
          <w:b/>
          <w:bCs/>
          <w:color w:val="000000"/>
          <w:sz w:val="28"/>
          <w:szCs w:val="28"/>
        </w:rPr>
        <w:t xml:space="preserve">в </w:t>
      </w:r>
      <w:r w:rsidR="00BE488A"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 w:rsidR="00BE488A">
        <w:rPr>
          <w:b/>
          <w:bCs/>
          <w:color w:val="000000"/>
          <w:sz w:val="28"/>
          <w:szCs w:val="28"/>
        </w:rPr>
        <w:t>городского поселения</w:t>
      </w:r>
    </w:p>
    <w:p w:rsidR="00664E51" w:rsidRDefault="00664E51" w:rsidP="00664E51">
      <w:pPr>
        <w:tabs>
          <w:tab w:val="left" w:pos="1620"/>
        </w:tabs>
        <w:jc w:val="center"/>
        <w:rPr>
          <w:i/>
          <w:iCs/>
          <w:color w:val="000000"/>
        </w:rPr>
      </w:pPr>
    </w:p>
    <w:p w:rsidR="00664E51" w:rsidRDefault="00664E51" w:rsidP="00807CFC">
      <w:pPr>
        <w:tabs>
          <w:tab w:val="left" w:pos="1620"/>
        </w:tabs>
        <w:jc w:val="both"/>
        <w:rPr>
          <w:sz w:val="28"/>
          <w:szCs w:val="28"/>
        </w:rPr>
      </w:pPr>
    </w:p>
    <w:p w:rsidR="00664E51" w:rsidRPr="007D2A02" w:rsidRDefault="00807CFC" w:rsidP="00807CFC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</w:r>
      <w:r w:rsidR="00664E51" w:rsidRPr="00BE488A">
        <w:rPr>
          <w:color w:val="000000"/>
          <w:sz w:val="28"/>
          <w:szCs w:val="28"/>
        </w:rPr>
        <w:t xml:space="preserve">В </w:t>
      </w:r>
      <w:r w:rsidR="00664E51" w:rsidRPr="00BE488A">
        <w:rPr>
          <w:sz w:val="28"/>
          <w:szCs w:val="28"/>
        </w:rPr>
        <w:t xml:space="preserve">соответствии </w:t>
      </w:r>
      <w:r w:rsidR="00BE488A" w:rsidRPr="00BE488A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BE488A" w:rsidRPr="00BE488A">
          <w:rPr>
            <w:rFonts w:eastAsiaTheme="minorHAnsi"/>
            <w:sz w:val="28"/>
            <w:szCs w:val="28"/>
            <w:lang w:eastAsia="en-US"/>
          </w:rPr>
          <w:t>частью 5 статьи 30</w:t>
        </w:r>
      </w:hyperlink>
      <w:r w:rsidR="00BE488A" w:rsidRPr="00BE488A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</w:t>
      </w:r>
      <w:r w:rsidR="00BE488A">
        <w:rPr>
          <w:rFonts w:eastAsiaTheme="minorHAnsi"/>
          <w:sz w:val="28"/>
          <w:szCs w:val="28"/>
          <w:lang w:eastAsia="en-US"/>
        </w:rPr>
        <w:t xml:space="preserve"> </w:t>
      </w:r>
      <w:r w:rsidR="00BE488A" w:rsidRPr="00BE488A">
        <w:rPr>
          <w:rFonts w:eastAsiaTheme="minorHAnsi"/>
          <w:sz w:val="28"/>
          <w:szCs w:val="28"/>
          <w:lang w:eastAsia="en-US"/>
        </w:rPr>
        <w:t>г.</w:t>
      </w:r>
      <w:r w:rsidR="00BE488A">
        <w:rPr>
          <w:rFonts w:eastAsiaTheme="minorHAnsi"/>
          <w:sz w:val="28"/>
          <w:szCs w:val="28"/>
          <w:lang w:eastAsia="en-US"/>
        </w:rPr>
        <w:t xml:space="preserve"> № </w:t>
      </w:r>
      <w:r w:rsidR="00BE488A" w:rsidRPr="00BE488A">
        <w:rPr>
          <w:rFonts w:eastAsiaTheme="minorHAns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</w:t>
      </w:r>
      <w:r w:rsidR="00BE488A">
        <w:rPr>
          <w:rFonts w:eastAsiaTheme="minorHAnsi"/>
          <w:sz w:val="28"/>
          <w:szCs w:val="28"/>
          <w:lang w:eastAsia="en-US"/>
        </w:rPr>
        <w:t>»</w:t>
      </w:r>
      <w:r w:rsidR="00BE488A" w:rsidRPr="00BE48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решением Совета Приволжского городского поселения Приволжского муниципального района от </w:t>
      </w:r>
      <w:r>
        <w:rPr>
          <w:color w:val="000000"/>
          <w:sz w:val="28"/>
          <w:szCs w:val="28"/>
        </w:rPr>
        <w:t>27.10.2021г. №36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="00BE488A" w:rsidRPr="00807CFC">
        <w:rPr>
          <w:rFonts w:eastAsiaTheme="minorHAnsi"/>
          <w:sz w:val="28"/>
          <w:szCs w:val="28"/>
          <w:lang w:eastAsia="en-US"/>
        </w:rPr>
        <w:t>Положени</w:t>
      </w:r>
      <w:r w:rsidRPr="00807CFC">
        <w:rPr>
          <w:rFonts w:eastAsiaTheme="minorHAnsi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</w:rPr>
        <w:t xml:space="preserve"> </w:t>
      </w:r>
      <w:r w:rsidRPr="00807CFC">
        <w:rPr>
          <w:color w:val="000000"/>
          <w:sz w:val="28"/>
          <w:szCs w:val="28"/>
        </w:rPr>
        <w:t>о муниципальном земельном контроле в границах Приволжского городского поселения</w:t>
      </w:r>
      <w:r>
        <w:rPr>
          <w:color w:val="000000"/>
          <w:sz w:val="28"/>
          <w:szCs w:val="28"/>
        </w:rPr>
        <w:t>»</w:t>
      </w:r>
      <w:r w:rsidR="00BE488A">
        <w:rPr>
          <w:color w:val="000000"/>
          <w:sz w:val="28"/>
          <w:szCs w:val="28"/>
        </w:rPr>
        <w:t xml:space="preserve">, </w:t>
      </w:r>
      <w:r w:rsidR="00ED0F9B">
        <w:rPr>
          <w:color w:val="000000"/>
          <w:sz w:val="28"/>
          <w:szCs w:val="28"/>
        </w:rPr>
        <w:t>Совет Приволжского городского поселения</w:t>
      </w:r>
    </w:p>
    <w:p w:rsidR="00664E51" w:rsidRDefault="00664E51" w:rsidP="00664E51">
      <w:pPr>
        <w:pStyle w:val="17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664E51" w:rsidRDefault="00664E51" w:rsidP="00664E51">
      <w:pPr>
        <w:keepNext/>
        <w:keepLines/>
        <w:ind w:left="4060"/>
        <w:rPr>
          <w:rStyle w:val="18"/>
          <w:rFonts w:eastAsia="Arial Unicode MS"/>
          <w:b/>
          <w:sz w:val="28"/>
          <w:szCs w:val="28"/>
        </w:rPr>
      </w:pPr>
      <w:r>
        <w:rPr>
          <w:rStyle w:val="18"/>
          <w:rFonts w:eastAsia="Arial Unicode MS"/>
          <w:b/>
          <w:sz w:val="28"/>
          <w:szCs w:val="28"/>
        </w:rPr>
        <w:t>РЕШИЛ:</w:t>
      </w:r>
    </w:p>
    <w:p w:rsidR="00664E51" w:rsidRDefault="00664E51" w:rsidP="00664E51">
      <w:pPr>
        <w:keepNext/>
        <w:keepLines/>
        <w:ind w:left="4060"/>
        <w:jc w:val="both"/>
        <w:rPr>
          <w:rStyle w:val="18"/>
          <w:rFonts w:eastAsia="Arial Unicode MS"/>
          <w:b/>
          <w:sz w:val="28"/>
          <w:szCs w:val="28"/>
        </w:rPr>
      </w:pPr>
    </w:p>
    <w:p w:rsidR="00664E51" w:rsidRPr="008C11DF" w:rsidRDefault="00664E51" w:rsidP="00664E51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1.</w:t>
      </w:r>
      <w:r w:rsidR="00BE488A">
        <w:rPr>
          <w:color w:val="000000"/>
          <w:sz w:val="28"/>
          <w:szCs w:val="28"/>
        </w:rPr>
        <w:t xml:space="preserve"> </w:t>
      </w:r>
      <w:r w:rsidRPr="00BE488A">
        <w:rPr>
          <w:color w:val="000000"/>
          <w:sz w:val="28"/>
          <w:szCs w:val="28"/>
        </w:rPr>
        <w:t xml:space="preserve">Утвердить </w:t>
      </w:r>
      <w:r w:rsidR="00BE488A" w:rsidRPr="00BE488A">
        <w:rPr>
          <w:color w:val="000000"/>
          <w:sz w:val="28"/>
          <w:szCs w:val="28"/>
        </w:rPr>
        <w:t xml:space="preserve">ключевые и индикативные показатели, применяемые </w:t>
      </w:r>
      <w:r w:rsidR="004A0D67">
        <w:rPr>
          <w:color w:val="000000"/>
          <w:sz w:val="28"/>
          <w:szCs w:val="28"/>
        </w:rPr>
        <w:t>а</w:t>
      </w:r>
      <w:r w:rsidR="00BE488A" w:rsidRPr="00BE488A">
        <w:rPr>
          <w:color w:val="000000"/>
          <w:sz w:val="28"/>
          <w:szCs w:val="28"/>
        </w:rPr>
        <w:t>дминистрацией Приволжского муниципального района, при осуществлении муниципального земельного контроля в границах Приволжского городского поселения</w:t>
      </w:r>
      <w:r w:rsidR="00BE488A">
        <w:rPr>
          <w:color w:val="000000"/>
          <w:sz w:val="28"/>
          <w:szCs w:val="28"/>
        </w:rPr>
        <w:t xml:space="preserve"> (</w:t>
      </w:r>
      <w:r w:rsidR="00807CFC">
        <w:rPr>
          <w:color w:val="000000"/>
          <w:sz w:val="28"/>
          <w:szCs w:val="28"/>
        </w:rPr>
        <w:t>прилагается</w:t>
      </w:r>
      <w:r w:rsidR="00BE488A">
        <w:rPr>
          <w:color w:val="000000"/>
          <w:sz w:val="28"/>
          <w:szCs w:val="28"/>
        </w:rPr>
        <w:t>).</w:t>
      </w:r>
    </w:p>
    <w:p w:rsidR="004218D6" w:rsidRDefault="004218D6" w:rsidP="004218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4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</w:t>
      </w:r>
      <w:r w:rsidR="00AD51C0" w:rsidRPr="00AD51C0">
        <w:rPr>
          <w:bCs/>
          <w:sz w:val="28"/>
        </w:rPr>
        <w:t xml:space="preserve"> </w:t>
      </w:r>
      <w:r w:rsidR="00AD51C0" w:rsidRPr="00FC3541">
        <w:rPr>
          <w:bCs/>
          <w:sz w:val="28"/>
        </w:rPr>
        <w:t xml:space="preserve">и </w:t>
      </w:r>
      <w:r w:rsidR="00AD51C0">
        <w:rPr>
          <w:bCs/>
          <w:sz w:val="28"/>
        </w:rPr>
        <w:t xml:space="preserve">разместить </w:t>
      </w:r>
      <w:r w:rsidR="00AD51C0" w:rsidRPr="00FC3541">
        <w:rPr>
          <w:bCs/>
          <w:sz w:val="28"/>
        </w:rPr>
        <w:t>на официальном сайте Приволжского муниципального района</w:t>
      </w:r>
      <w:r>
        <w:rPr>
          <w:color w:val="000000" w:themeColor="text1"/>
          <w:sz w:val="28"/>
          <w:szCs w:val="28"/>
        </w:rPr>
        <w:t>.</w:t>
      </w:r>
    </w:p>
    <w:p w:rsidR="004218D6" w:rsidRPr="00603941" w:rsidRDefault="004218D6" w:rsidP="004218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Настоящее решение вступает в силу </w:t>
      </w:r>
      <w:r w:rsidRPr="00AC3FA1">
        <w:rPr>
          <w:color w:val="000000" w:themeColor="text1"/>
          <w:sz w:val="28"/>
          <w:szCs w:val="28"/>
        </w:rPr>
        <w:t>с 01.</w:t>
      </w:r>
      <w:r>
        <w:rPr>
          <w:color w:val="000000" w:themeColor="text1"/>
          <w:sz w:val="28"/>
          <w:szCs w:val="28"/>
        </w:rPr>
        <w:t>0</w:t>
      </w:r>
      <w:r w:rsidR="00BE488A">
        <w:rPr>
          <w:color w:val="000000" w:themeColor="text1"/>
          <w:sz w:val="28"/>
          <w:szCs w:val="28"/>
        </w:rPr>
        <w:t>3</w:t>
      </w:r>
      <w:r w:rsidRPr="00AC3FA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AC3FA1">
        <w:rPr>
          <w:color w:val="000000" w:themeColor="text1"/>
          <w:sz w:val="28"/>
          <w:szCs w:val="28"/>
        </w:rPr>
        <w:t xml:space="preserve"> года.</w:t>
      </w:r>
      <w:r>
        <w:rPr>
          <w:color w:val="000000" w:themeColor="text1"/>
          <w:sz w:val="28"/>
          <w:szCs w:val="28"/>
        </w:rPr>
        <w:t xml:space="preserve"> </w:t>
      </w:r>
    </w:p>
    <w:p w:rsidR="008F3AA8" w:rsidRDefault="008F3AA8" w:rsidP="00664E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0A4C" w:rsidRDefault="005F0A4C" w:rsidP="00664E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4E51" w:rsidRDefault="00664E51" w:rsidP="00664E51">
      <w:pPr>
        <w:jc w:val="both"/>
        <w:rPr>
          <w:b/>
          <w:sz w:val="28"/>
          <w:szCs w:val="28"/>
        </w:rPr>
      </w:pPr>
    </w:p>
    <w:p w:rsidR="00ED0F9B" w:rsidRDefault="00ED0F9B" w:rsidP="00ED0F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4E51">
        <w:rPr>
          <w:rFonts w:ascii="Times New Roman" w:hAnsi="Times New Roman" w:cs="Times New Roman"/>
          <w:b/>
          <w:sz w:val="28"/>
          <w:szCs w:val="28"/>
        </w:rPr>
        <w:t>Приволжского</w:t>
      </w:r>
    </w:p>
    <w:p w:rsidR="00664E51" w:rsidRDefault="00704690" w:rsidP="00ED0F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4E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0F9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4E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30E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6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8A">
        <w:rPr>
          <w:rFonts w:ascii="Times New Roman" w:hAnsi="Times New Roman" w:cs="Times New Roman"/>
          <w:b/>
          <w:sz w:val="28"/>
          <w:szCs w:val="28"/>
        </w:rPr>
        <w:t>И.Л.</w:t>
      </w:r>
      <w:r w:rsidR="00A3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8A">
        <w:rPr>
          <w:rFonts w:ascii="Times New Roman" w:hAnsi="Times New Roman" w:cs="Times New Roman"/>
          <w:b/>
          <w:sz w:val="28"/>
          <w:szCs w:val="28"/>
        </w:rPr>
        <w:t>Астафьева</w:t>
      </w:r>
    </w:p>
    <w:p w:rsidR="00704690" w:rsidRDefault="00704690" w:rsidP="00755710">
      <w:pPr>
        <w:jc w:val="center"/>
        <w:rPr>
          <w:b/>
          <w:bCs/>
        </w:rPr>
      </w:pPr>
    </w:p>
    <w:p w:rsidR="00A30E60" w:rsidRDefault="00A30E60" w:rsidP="00755710">
      <w:pPr>
        <w:jc w:val="center"/>
        <w:rPr>
          <w:b/>
          <w:bCs/>
        </w:rPr>
      </w:pPr>
    </w:p>
    <w:p w:rsidR="00A30E60" w:rsidRDefault="00A30E60" w:rsidP="00755710">
      <w:pPr>
        <w:jc w:val="center"/>
        <w:rPr>
          <w:b/>
          <w:bCs/>
        </w:rPr>
      </w:pPr>
    </w:p>
    <w:p w:rsidR="00A30E60" w:rsidRDefault="00A30E60" w:rsidP="00755710">
      <w:pPr>
        <w:jc w:val="center"/>
        <w:rPr>
          <w:b/>
          <w:bCs/>
        </w:rPr>
      </w:pPr>
    </w:p>
    <w:p w:rsidR="00A30E60" w:rsidRDefault="00A30E60" w:rsidP="00755710">
      <w:pPr>
        <w:jc w:val="center"/>
        <w:rPr>
          <w:b/>
          <w:bCs/>
        </w:rPr>
      </w:pPr>
    </w:p>
    <w:p w:rsidR="00755710" w:rsidRPr="00D16ADB" w:rsidRDefault="00B90A80" w:rsidP="00545FBA">
      <w:pPr>
        <w:tabs>
          <w:tab w:val="num" w:pos="200"/>
        </w:tabs>
        <w:ind w:left="4536"/>
        <w:jc w:val="right"/>
        <w:outlineLvl w:val="0"/>
      </w:pPr>
      <w:r>
        <w:lastRenderedPageBreak/>
        <w:t>Приложение</w:t>
      </w:r>
      <w:r w:rsidR="00BE488A">
        <w:t xml:space="preserve"> </w:t>
      </w:r>
    </w:p>
    <w:p w:rsidR="00664E51" w:rsidRDefault="00B90A80" w:rsidP="00545FBA">
      <w:pPr>
        <w:ind w:left="4536"/>
        <w:jc w:val="right"/>
        <w:rPr>
          <w:color w:val="000000"/>
        </w:rPr>
      </w:pPr>
      <w:r>
        <w:rPr>
          <w:color w:val="000000"/>
        </w:rPr>
        <w:t>Р</w:t>
      </w:r>
      <w:r w:rsidR="00755710" w:rsidRPr="00664E51">
        <w:rPr>
          <w:color w:val="000000"/>
        </w:rPr>
        <w:t>ешени</w:t>
      </w:r>
      <w:r>
        <w:rPr>
          <w:color w:val="000000"/>
        </w:rPr>
        <w:t>ю</w:t>
      </w:r>
      <w:r w:rsidR="00755710" w:rsidRPr="00664E51">
        <w:rPr>
          <w:color w:val="000000"/>
        </w:rPr>
        <w:t xml:space="preserve"> </w:t>
      </w:r>
      <w:r w:rsidR="00664E51" w:rsidRPr="00664E51">
        <w:rPr>
          <w:color w:val="000000"/>
        </w:rPr>
        <w:t xml:space="preserve">Совета Приволжского </w:t>
      </w:r>
    </w:p>
    <w:p w:rsidR="00755710" w:rsidRPr="00664E51" w:rsidRDefault="00704690" w:rsidP="00545FBA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</w:t>
      </w:r>
    </w:p>
    <w:p w:rsidR="00755710" w:rsidRPr="00D16ADB" w:rsidRDefault="00377D7D" w:rsidP="00545FBA">
      <w:pPr>
        <w:ind w:left="4536"/>
        <w:jc w:val="right"/>
      </w:pPr>
      <w:r>
        <w:t xml:space="preserve">от </w:t>
      </w:r>
      <w:r w:rsidR="00A30E60">
        <w:t>24.02.2022</w:t>
      </w:r>
      <w:r w:rsidR="00E863E6">
        <w:t xml:space="preserve">№ </w:t>
      </w:r>
      <w:r w:rsidR="00A30E60">
        <w:t>11</w:t>
      </w:r>
    </w:p>
    <w:p w:rsidR="00755710" w:rsidRPr="00D16ADB" w:rsidRDefault="00755710" w:rsidP="00E863E6">
      <w:pPr>
        <w:ind w:firstLine="567"/>
        <w:jc w:val="center"/>
        <w:rPr>
          <w:color w:val="000000"/>
          <w:sz w:val="17"/>
          <w:szCs w:val="17"/>
        </w:rPr>
      </w:pP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D16ADB" w:rsidRDefault="00BE488A" w:rsidP="00545FBA">
      <w:pPr>
        <w:jc w:val="center"/>
      </w:pPr>
      <w:r>
        <w:rPr>
          <w:b/>
          <w:bCs/>
          <w:color w:val="000000"/>
          <w:sz w:val="28"/>
          <w:szCs w:val="28"/>
        </w:rPr>
        <w:t xml:space="preserve">Ключевые </w:t>
      </w:r>
      <w:r w:rsidR="004D3F40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и</w:t>
      </w:r>
      <w:r w:rsidRPr="00BE488A">
        <w:rPr>
          <w:b/>
          <w:bCs/>
          <w:color w:val="000000"/>
          <w:sz w:val="28"/>
          <w:szCs w:val="28"/>
        </w:rPr>
        <w:t xml:space="preserve">ндикативные показатели, применяемые </w:t>
      </w:r>
      <w:r w:rsidR="004A0D67">
        <w:rPr>
          <w:b/>
          <w:bCs/>
          <w:color w:val="000000"/>
          <w:sz w:val="28"/>
          <w:szCs w:val="28"/>
        </w:rPr>
        <w:t>а</w:t>
      </w:r>
      <w:r w:rsidRPr="00BE488A">
        <w:rPr>
          <w:b/>
          <w:bCs/>
          <w:color w:val="000000"/>
          <w:sz w:val="28"/>
          <w:szCs w:val="28"/>
        </w:rPr>
        <w:t xml:space="preserve">дминистрацией Приволжского муниципального района, при осуществлении муниципального земельного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>
        <w:rPr>
          <w:b/>
          <w:bCs/>
          <w:color w:val="000000"/>
          <w:sz w:val="28"/>
          <w:szCs w:val="28"/>
        </w:rPr>
        <w:t>городского поселения</w:t>
      </w:r>
    </w:p>
    <w:p w:rsidR="00BE488A" w:rsidRDefault="00BE488A" w:rsidP="00545F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8A" w:rsidRDefault="00755710" w:rsidP="00BE488A">
      <w:pPr>
        <w:jc w:val="center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1. </w:t>
      </w:r>
      <w:r w:rsidR="004D3F40">
        <w:rPr>
          <w:b/>
          <w:bCs/>
          <w:color w:val="000000"/>
          <w:sz w:val="28"/>
          <w:szCs w:val="28"/>
        </w:rPr>
        <w:t xml:space="preserve">Ключевые показатели, применяемые </w:t>
      </w:r>
      <w:r w:rsidR="00BE488A" w:rsidRPr="00BE488A">
        <w:rPr>
          <w:b/>
          <w:bCs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="00BE488A" w:rsidRPr="00D16ADB">
        <w:rPr>
          <w:b/>
          <w:bCs/>
          <w:color w:val="000000"/>
          <w:sz w:val="28"/>
          <w:szCs w:val="28"/>
        </w:rPr>
        <w:t xml:space="preserve">в </w:t>
      </w:r>
      <w:r w:rsidR="00BE488A"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 w:rsidR="00BE488A">
        <w:rPr>
          <w:b/>
          <w:bCs/>
          <w:color w:val="000000"/>
          <w:sz w:val="28"/>
          <w:szCs w:val="28"/>
        </w:rPr>
        <w:t>городского поселения</w:t>
      </w:r>
    </w:p>
    <w:p w:rsidR="004F79D4" w:rsidRPr="00D16ADB" w:rsidRDefault="004F79D4" w:rsidP="00BE488A">
      <w:pPr>
        <w:jc w:val="center"/>
      </w:pPr>
    </w:p>
    <w:tbl>
      <w:tblPr>
        <w:tblStyle w:val="aff4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 w:rsidRPr="004F79D4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 w:rsidRPr="004F79D4">
              <w:rPr>
                <w:color w:val="000000"/>
                <w:sz w:val="28"/>
                <w:szCs w:val="28"/>
              </w:rPr>
              <w:t>Значения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выполнения плана проведенных плановых контрольных (надзорных) мероприятий на отчетный год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обоснованных жалоб на действия (бездействия) органа муниципального контроля и его должностных лиц при проведении контрольных (надзорных) мероприятий 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устраненных ранее выданных предписаний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4F79D4" w:rsidRDefault="004F79D4" w:rsidP="004F79D4">
      <w:pPr>
        <w:jc w:val="center"/>
        <w:rPr>
          <w:b/>
          <w:bCs/>
          <w:color w:val="000000"/>
          <w:sz w:val="28"/>
          <w:szCs w:val="28"/>
        </w:rPr>
      </w:pPr>
    </w:p>
    <w:p w:rsidR="004F79D4" w:rsidRDefault="004F79D4" w:rsidP="004F79D4">
      <w:pPr>
        <w:jc w:val="center"/>
        <w:rPr>
          <w:b/>
          <w:bCs/>
          <w:color w:val="000000"/>
          <w:sz w:val="28"/>
          <w:szCs w:val="28"/>
        </w:rPr>
      </w:pPr>
    </w:p>
    <w:p w:rsidR="004F79D4" w:rsidRDefault="004F79D4" w:rsidP="004F79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И</w:t>
      </w:r>
      <w:r w:rsidRPr="00BE488A">
        <w:rPr>
          <w:b/>
          <w:bCs/>
          <w:color w:val="000000"/>
          <w:sz w:val="28"/>
          <w:szCs w:val="28"/>
        </w:rPr>
        <w:t xml:space="preserve">ндикативные показатели, применяемые при осуществлении муниципального земельного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>
        <w:rPr>
          <w:b/>
          <w:bCs/>
          <w:color w:val="000000"/>
          <w:sz w:val="28"/>
          <w:szCs w:val="28"/>
        </w:rPr>
        <w:t>городского поселения</w:t>
      </w:r>
    </w:p>
    <w:p w:rsidR="004F79D4" w:rsidRPr="00D16ADB" w:rsidRDefault="004F79D4" w:rsidP="004F79D4">
      <w:pPr>
        <w:jc w:val="center"/>
      </w:pPr>
    </w:p>
    <w:p w:rsidR="004F79D4" w:rsidRDefault="00BE488A" w:rsidP="004F79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1.Количество плановых контрольных (надзорных) мероприятий, проведенных за отчетный период.</w:t>
      </w:r>
    </w:p>
    <w:p w:rsidR="00BE488A" w:rsidRPr="00BE488A" w:rsidRDefault="00BE488A" w:rsidP="004F79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2.Количество внеплановых контрольных (надзорных) мероприятий, проведенных за отчетный период при взаимодействии с контролируемым лицом.</w:t>
      </w:r>
    </w:p>
    <w:p w:rsidR="00BE488A" w:rsidRPr="00BE488A" w:rsidRDefault="00BE488A" w:rsidP="004F79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3.Количество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установленными решени</w:t>
      </w:r>
      <w:r w:rsidR="004A0D6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Приволжского городского поселения «Об утверждении Положения о муниципальном земельном контроле в границах Приволжского городского поселения» и  (или) отклонения объекта контроля от таких параметров.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4. Общее количество контрольных (надзорных) мероприятий без взаимодействия с контролируемым лицом,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Общее количество контрольных (надзорных) мероприятий, проведенных за отчетный период при взаимодействии с контролируемым лицом.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6. Количество документарных проверок,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7.Количество выездных проверок,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8. Количество выездных обследований,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11.Сумма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(надзорных) мероприятий,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их проведения,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14.Общее количество учтенных объектов контроля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15.Количество учтенных объектов контроля, отнесенных к категории умеренного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16.Количество учтенных объектов контроля, отнесенных к категории среднего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17.Количество учтенных объектов контроля, отнесенных к низкой категории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18.Количество объектов контроля, в отношении которых проведены контрольные (надзорные) мероприятия,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 xml:space="preserve">19. Количество исковых заявлений об оспаривании решений, действий (бездействия) должностных лиц </w:t>
      </w:r>
      <w:r w:rsidR="00787A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>дминистрации Приволжского муниципального района, осуществляющих муниципальный земельный контроль, направленных контролируемыми лицами в суд,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 xml:space="preserve">20. Количество исковых заявлений об оспаривании решений, действий (бездействия) должностных лиц </w:t>
      </w:r>
      <w:r w:rsidR="004A0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>дминистрации Приволжского муниципального района, осуществляющих муниципальный земельный контроль, направленных контролируемыми лицами в суд, по которым принято решение об удовлетворении заявленных требований, за отчетный период.</w:t>
      </w:r>
    </w:p>
    <w:p w:rsidR="00DB31AF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21. Количество контрольных (надзорных) мероприятий, проведенных с грубым нарушением требований к организации и осуществлению муниципального земельного контроля, результаты которых были признаны недействительными и (или) отменены, за отчетный период.</w:t>
      </w:r>
    </w:p>
    <w:p w:rsidR="00807CFC" w:rsidRDefault="00807CFC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FC" w:rsidRDefault="00807CFC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07CFC" w:rsidSect="00E90F25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F7" w:rsidRDefault="00E907F7" w:rsidP="00755710">
      <w:r>
        <w:separator/>
      </w:r>
    </w:p>
  </w:endnote>
  <w:endnote w:type="continuationSeparator" w:id="0">
    <w:p w:rsidR="00E907F7" w:rsidRDefault="00E907F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F7" w:rsidRDefault="00E907F7" w:rsidP="00755710">
      <w:r>
        <w:separator/>
      </w:r>
    </w:p>
  </w:footnote>
  <w:footnote w:type="continuationSeparator" w:id="0">
    <w:p w:rsidR="00E907F7" w:rsidRDefault="00E907F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907F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42524"/>
    <w:rsid w:val="000E7006"/>
    <w:rsid w:val="000F4FA0"/>
    <w:rsid w:val="0010392A"/>
    <w:rsid w:val="0011025C"/>
    <w:rsid w:val="00150485"/>
    <w:rsid w:val="001A594D"/>
    <w:rsid w:val="002A68E1"/>
    <w:rsid w:val="002B1AD6"/>
    <w:rsid w:val="002B7163"/>
    <w:rsid w:val="002F10E6"/>
    <w:rsid w:val="003619B2"/>
    <w:rsid w:val="00377D7D"/>
    <w:rsid w:val="00377FE9"/>
    <w:rsid w:val="003C4BB5"/>
    <w:rsid w:val="003D6642"/>
    <w:rsid w:val="003E09E1"/>
    <w:rsid w:val="004218D6"/>
    <w:rsid w:val="004A0D67"/>
    <w:rsid w:val="004D3F40"/>
    <w:rsid w:val="004E0665"/>
    <w:rsid w:val="004F5906"/>
    <w:rsid w:val="004F6D57"/>
    <w:rsid w:val="004F79D4"/>
    <w:rsid w:val="00545FBA"/>
    <w:rsid w:val="005C4134"/>
    <w:rsid w:val="005F0A4C"/>
    <w:rsid w:val="005F31B8"/>
    <w:rsid w:val="00603941"/>
    <w:rsid w:val="00647217"/>
    <w:rsid w:val="00664E51"/>
    <w:rsid w:val="006D267F"/>
    <w:rsid w:val="00704690"/>
    <w:rsid w:val="00753ACA"/>
    <w:rsid w:val="00755710"/>
    <w:rsid w:val="00787A7F"/>
    <w:rsid w:val="007A69DD"/>
    <w:rsid w:val="007B5894"/>
    <w:rsid w:val="007F7FE6"/>
    <w:rsid w:val="00807CFC"/>
    <w:rsid w:val="00807F5A"/>
    <w:rsid w:val="00870EBB"/>
    <w:rsid w:val="0088691F"/>
    <w:rsid w:val="008F3AA8"/>
    <w:rsid w:val="0090777E"/>
    <w:rsid w:val="0091617E"/>
    <w:rsid w:val="00935631"/>
    <w:rsid w:val="0097160F"/>
    <w:rsid w:val="009B6A4F"/>
    <w:rsid w:val="009D07EB"/>
    <w:rsid w:val="00A00423"/>
    <w:rsid w:val="00A27A38"/>
    <w:rsid w:val="00A27C9C"/>
    <w:rsid w:val="00A30E60"/>
    <w:rsid w:val="00A83C25"/>
    <w:rsid w:val="00AB01D4"/>
    <w:rsid w:val="00AD51C0"/>
    <w:rsid w:val="00AE344E"/>
    <w:rsid w:val="00B2497F"/>
    <w:rsid w:val="00B25938"/>
    <w:rsid w:val="00B26BD1"/>
    <w:rsid w:val="00B90A80"/>
    <w:rsid w:val="00BD604E"/>
    <w:rsid w:val="00BE488A"/>
    <w:rsid w:val="00C005C8"/>
    <w:rsid w:val="00CA4806"/>
    <w:rsid w:val="00D0437B"/>
    <w:rsid w:val="00D51A84"/>
    <w:rsid w:val="00DB31AF"/>
    <w:rsid w:val="00E51E5A"/>
    <w:rsid w:val="00E55805"/>
    <w:rsid w:val="00E613FD"/>
    <w:rsid w:val="00E863E6"/>
    <w:rsid w:val="00E907F7"/>
    <w:rsid w:val="00ED0F9B"/>
    <w:rsid w:val="00F3290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aff3">
    <w:name w:val="Основной текст_"/>
    <w:link w:val="17"/>
    <w:locked/>
    <w:rsid w:val="00664E51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664E51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8">
    <w:name w:val="Заголовок №1"/>
    <w:rsid w:val="00664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table" w:styleId="aff4">
    <w:name w:val="Table Grid"/>
    <w:basedOn w:val="a2"/>
    <w:uiPriority w:val="99"/>
    <w:rsid w:val="0066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7C7024BEF1D7C35DB91F09F1F4968B850DD2D220024758168FAE19A3C8C7A6B608C129F58B0CFBADEFB6A7467AAED6C109920D83A8579U9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76F6-A01D-48E9-9546-CFB7BB0F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2022-02-15T07:45:00Z</cp:lastPrinted>
  <dcterms:created xsi:type="dcterms:W3CDTF">2022-02-25T10:58:00Z</dcterms:created>
  <dcterms:modified xsi:type="dcterms:W3CDTF">2022-02-25T10:58:00Z</dcterms:modified>
</cp:coreProperties>
</file>