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92" w:rsidRPr="00EE45D8" w:rsidRDefault="006E6FD6" w:rsidP="00EE45D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37DE">
        <w:object w:dxaOrig="1011" w:dyaOrig="1273">
          <v:rect id="rectole0000000000" o:spid="_x0000_i1025" style="width:50.25pt;height:63.75pt" o:ole="" o:preferrelative="t" stroked="f">
            <v:imagedata r:id="rId5" o:title=""/>
          </v:rect>
          <o:OLEObject Type="Embed" ProgID="StaticMetafile" ShapeID="rectole0000000000" DrawAspect="Content" ObjectID="_1725859605" r:id="rId6"/>
        </w:object>
      </w:r>
    </w:p>
    <w:p w:rsidR="00BE4892" w:rsidRPr="004F37DE" w:rsidRDefault="00A9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7D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ПРИВОЛЖСКОГО ГОРОДСКОГО ПОСЕЛЕНИЯ </w:t>
      </w:r>
    </w:p>
    <w:p w:rsidR="00BE4892" w:rsidRPr="004F37DE" w:rsidRDefault="00BE4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4892" w:rsidRPr="004F37DE" w:rsidRDefault="006E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F37D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</w:p>
    <w:p w:rsidR="00BE4892" w:rsidRPr="004F37DE" w:rsidRDefault="00BE4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4892" w:rsidRPr="004F37DE" w:rsidRDefault="000029FA" w:rsidP="00D7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37DE">
        <w:rPr>
          <w:rFonts w:ascii="Times New Roman" w:eastAsia="Times New Roman" w:hAnsi="Times New Roman" w:cs="Times New Roman"/>
          <w:b/>
          <w:bCs/>
          <w:sz w:val="28"/>
        </w:rPr>
        <w:t>от</w:t>
      </w:r>
      <w:r w:rsidR="000442E3"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EE45D8">
        <w:rPr>
          <w:rFonts w:ascii="Times New Roman" w:eastAsia="Times New Roman" w:hAnsi="Times New Roman" w:cs="Times New Roman"/>
          <w:b/>
          <w:bCs/>
          <w:sz w:val="28"/>
        </w:rPr>
        <w:t>28.09.2022</w:t>
      </w:r>
      <w:r w:rsidR="000442E3"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</w:t>
      </w:r>
      <w:r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E6FD6" w:rsidRPr="004F37DE">
        <w:rPr>
          <w:rFonts w:ascii="Times New Roman" w:eastAsia="Times New Roman" w:hAnsi="Times New Roman" w:cs="Times New Roman"/>
          <w:b/>
          <w:bCs/>
          <w:sz w:val="28"/>
        </w:rPr>
        <w:t xml:space="preserve">№ </w:t>
      </w:r>
      <w:r w:rsidR="00EE45D8">
        <w:rPr>
          <w:rFonts w:ascii="Times New Roman" w:eastAsia="Times New Roman" w:hAnsi="Times New Roman" w:cs="Times New Roman"/>
          <w:b/>
          <w:bCs/>
          <w:sz w:val="28"/>
        </w:rPr>
        <w:t>48</w:t>
      </w:r>
    </w:p>
    <w:p w:rsidR="00BE4892" w:rsidRPr="004F37DE" w:rsidRDefault="00BE4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6667" w:rsidRPr="004F37DE" w:rsidRDefault="0029081E" w:rsidP="00A9666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Hlk115245580"/>
      <w:bookmarkStart w:id="1" w:name="_GoBack"/>
      <w:r w:rsidRPr="004F37D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 внесении изменений в Правила землепользования и застройки Приволжского городского поселения</w:t>
      </w:r>
    </w:p>
    <w:bookmarkEnd w:id="0"/>
    <w:bookmarkEnd w:id="1"/>
    <w:p w:rsidR="00A96667" w:rsidRPr="004F37DE" w:rsidRDefault="00A96667" w:rsidP="00A96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667" w:rsidRPr="00EE45D8" w:rsidRDefault="00A96667" w:rsidP="00EE45D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F37DE">
        <w:rPr>
          <w:rFonts w:ascii="Times New Roman" w:hAnsi="Times New Roman" w:cs="Times New Roman"/>
          <w:sz w:val="28"/>
          <w:szCs w:val="28"/>
        </w:rPr>
        <w:t xml:space="preserve">Руководствуясь ст. 5.1., </w:t>
      </w:r>
      <w:r w:rsidR="009C0452" w:rsidRPr="004F37DE">
        <w:rPr>
          <w:rFonts w:ascii="Times New Roman" w:hAnsi="Times New Roman" w:cs="Times New Roman"/>
          <w:sz w:val="28"/>
          <w:szCs w:val="28"/>
        </w:rPr>
        <w:t>30</w:t>
      </w:r>
      <w:r w:rsidR="006769A8" w:rsidRPr="004F37DE">
        <w:rPr>
          <w:rFonts w:ascii="Times New Roman" w:hAnsi="Times New Roman" w:cs="Times New Roman"/>
          <w:sz w:val="28"/>
          <w:szCs w:val="28"/>
        </w:rPr>
        <w:t>,</w:t>
      </w:r>
      <w:r w:rsidRPr="004F37DE">
        <w:rPr>
          <w:rFonts w:ascii="Times New Roman" w:hAnsi="Times New Roman" w:cs="Times New Roman"/>
          <w:sz w:val="28"/>
          <w:szCs w:val="28"/>
        </w:rPr>
        <w:t xml:space="preserve"> </w:t>
      </w:r>
      <w:r w:rsidR="009C0452" w:rsidRPr="004F37DE">
        <w:rPr>
          <w:rFonts w:ascii="Times New Roman" w:hAnsi="Times New Roman" w:cs="Times New Roman"/>
          <w:sz w:val="28"/>
          <w:szCs w:val="28"/>
        </w:rPr>
        <w:t>3</w:t>
      </w:r>
      <w:r w:rsidRPr="004F37DE">
        <w:rPr>
          <w:rFonts w:ascii="Times New Roman" w:hAnsi="Times New Roman" w:cs="Times New Roman"/>
          <w:sz w:val="28"/>
          <w:szCs w:val="28"/>
        </w:rPr>
        <w:t>3 Градостроительного кодекса РФ</w:t>
      </w:r>
      <w:r w:rsidR="009C0452" w:rsidRPr="004F37DE">
        <w:rPr>
          <w:rFonts w:ascii="Times New Roman" w:hAnsi="Times New Roman" w:cs="Times New Roman"/>
          <w:sz w:val="28"/>
          <w:szCs w:val="28"/>
        </w:rPr>
        <w:t xml:space="preserve"> от 29.12.2004 №190-ФЗ (ред. от 30.12.2021)</w:t>
      </w:r>
      <w:r w:rsidRPr="004F37DE">
        <w:rPr>
          <w:rFonts w:ascii="Times New Roman" w:hAnsi="Times New Roman" w:cs="Times New Roman"/>
          <w:sz w:val="28"/>
          <w:szCs w:val="28"/>
        </w:rPr>
        <w:t xml:space="preserve"> и ст.28 Федерального закона </w:t>
      </w:r>
      <w:r w:rsidR="006769A8" w:rsidRPr="004F37D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4F37DE">
        <w:rPr>
          <w:rFonts w:ascii="Times New Roman" w:hAnsi="Times New Roman" w:cs="Times New Roman"/>
          <w:sz w:val="28"/>
          <w:szCs w:val="28"/>
        </w:rPr>
        <w:t>№131-ФЗ</w:t>
      </w:r>
      <w:r w:rsidR="009C0452" w:rsidRPr="004F37DE">
        <w:rPr>
          <w:rFonts w:ascii="Times New Roman" w:hAnsi="Times New Roman" w:cs="Times New Roman"/>
          <w:sz w:val="28"/>
          <w:szCs w:val="28"/>
        </w:rPr>
        <w:t xml:space="preserve"> (ред. от 30.12.2021)</w:t>
      </w:r>
      <w:r w:rsidRPr="004F37D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6769A8" w:rsidRPr="004F37DE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Приволжского городского поселения, утвержденными решением Совета Приволжского городского поселения от </w:t>
      </w:r>
      <w:r w:rsidR="002237E1" w:rsidRPr="004F37DE">
        <w:rPr>
          <w:rFonts w:ascii="Times New Roman" w:hAnsi="Times New Roman" w:cs="Times New Roman"/>
          <w:sz w:val="28"/>
          <w:szCs w:val="28"/>
        </w:rPr>
        <w:t>27.12.2011 №122 «Об утверждении правил землепользования и застройки Приволжского городского поселения»,</w:t>
      </w:r>
      <w:r w:rsidRPr="004F37DE">
        <w:rPr>
          <w:rFonts w:ascii="Times New Roman" w:hAnsi="Times New Roman" w:cs="Times New Roman"/>
          <w:sz w:val="28"/>
          <w:szCs w:val="28"/>
        </w:rPr>
        <w:t xml:space="preserve"> </w:t>
      </w:r>
      <w:r w:rsidRPr="004F37DE">
        <w:rPr>
          <w:rFonts w:ascii="Times New Roman" w:hAnsi="Times New Roman" w:cs="Times New Roman"/>
          <w:spacing w:val="-9"/>
          <w:sz w:val="28"/>
          <w:szCs w:val="28"/>
        </w:rPr>
        <w:t xml:space="preserve">по итогам публичных слушаний от </w:t>
      </w:r>
      <w:r w:rsidR="009C0452" w:rsidRPr="004F37DE">
        <w:rPr>
          <w:rFonts w:ascii="Times New Roman" w:hAnsi="Times New Roman" w:cs="Times New Roman"/>
          <w:spacing w:val="-9"/>
          <w:sz w:val="28"/>
          <w:szCs w:val="28"/>
        </w:rPr>
        <w:t>17.01.2021</w:t>
      </w:r>
      <w:r w:rsidRPr="004F37DE">
        <w:rPr>
          <w:rFonts w:ascii="Times New Roman" w:hAnsi="Times New Roman" w:cs="Times New Roman"/>
          <w:spacing w:val="-9"/>
          <w:sz w:val="28"/>
          <w:szCs w:val="28"/>
        </w:rPr>
        <w:t xml:space="preserve">, Совет Приволжского городского поселения </w:t>
      </w:r>
    </w:p>
    <w:p w:rsidR="00A96667" w:rsidRPr="00EE45D8" w:rsidRDefault="00A96667" w:rsidP="00EE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37DE">
        <w:rPr>
          <w:rFonts w:ascii="Times New Roman" w:hAnsi="Times New Roman" w:cs="Times New Roman"/>
          <w:b/>
          <w:sz w:val="28"/>
        </w:rPr>
        <w:t>РЕШИЛ:</w:t>
      </w:r>
    </w:p>
    <w:p w:rsidR="00FD51FA" w:rsidRDefault="00FD51FA" w:rsidP="00FD51FA">
      <w:pPr>
        <w:pStyle w:val="af6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142" w:firstLine="708"/>
        <w:jc w:val="both"/>
        <w:rPr>
          <w:bCs/>
          <w:sz w:val="28"/>
          <w:szCs w:val="28"/>
        </w:rPr>
      </w:pPr>
      <w:bookmarkStart w:id="2" w:name="_Hlk526347704"/>
      <w:bookmarkStart w:id="3" w:name="_Hlk17964086"/>
      <w:r>
        <w:rPr>
          <w:color w:val="000000"/>
          <w:sz w:val="28"/>
          <w:shd w:val="clear" w:color="auto" w:fill="FFFFFF"/>
        </w:rPr>
        <w:t xml:space="preserve">Внести в </w:t>
      </w:r>
      <w:r w:rsidRPr="00173653">
        <w:rPr>
          <w:color w:val="000000"/>
          <w:sz w:val="28"/>
          <w:shd w:val="clear" w:color="auto" w:fill="FFFFFF"/>
        </w:rPr>
        <w:t>статью 50</w:t>
      </w:r>
      <w:r>
        <w:rPr>
          <w:color w:val="000000"/>
          <w:sz w:val="28"/>
          <w:shd w:val="clear" w:color="auto" w:fill="FFFFFF"/>
        </w:rPr>
        <w:t xml:space="preserve"> «Жилые зоны»</w:t>
      </w:r>
      <w:r w:rsidRPr="00173653">
        <w:rPr>
          <w:color w:val="000000"/>
          <w:sz w:val="28"/>
          <w:shd w:val="clear" w:color="auto" w:fill="FFFFFF"/>
        </w:rPr>
        <w:t xml:space="preserve"> </w:t>
      </w:r>
      <w:r w:rsidRPr="00173653">
        <w:rPr>
          <w:bCs/>
          <w:sz w:val="28"/>
          <w:szCs w:val="28"/>
        </w:rPr>
        <w:t>Правил землепользования и застройки Приволжского городского поселения, утвержденны</w:t>
      </w:r>
      <w:r>
        <w:rPr>
          <w:bCs/>
          <w:sz w:val="28"/>
          <w:szCs w:val="28"/>
        </w:rPr>
        <w:t>х</w:t>
      </w:r>
      <w:r w:rsidRPr="00173653">
        <w:rPr>
          <w:bCs/>
          <w:sz w:val="28"/>
          <w:szCs w:val="28"/>
        </w:rPr>
        <w:t xml:space="preserve"> решением Совета Приволжского городского поселения от 27.12.2011 № 122 «Об утверждении Правил землепользования и застройки Приволжского городского поселения</w:t>
      </w:r>
      <w:r w:rsidR="000421E2">
        <w:rPr>
          <w:bCs/>
          <w:sz w:val="28"/>
          <w:szCs w:val="28"/>
        </w:rPr>
        <w:t>»</w:t>
      </w:r>
      <w:r w:rsidRPr="00173653">
        <w:rPr>
          <w:bCs/>
          <w:sz w:val="28"/>
          <w:szCs w:val="28"/>
        </w:rPr>
        <w:t xml:space="preserve"> следующие изменения:</w:t>
      </w:r>
    </w:p>
    <w:p w:rsidR="00FD51FA" w:rsidRDefault="00FD51FA" w:rsidP="00FD51FA">
      <w:pPr>
        <w:pStyle w:val="af6"/>
        <w:numPr>
          <w:ilvl w:val="1"/>
          <w:numId w:val="3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«Ж-1. Зоны индивидуальной усадебной жилой застройки» таблицу «Основные виды разрешенного использования» изложить в новой редакции согласно приложению №1 к настоящему решению.</w:t>
      </w:r>
    </w:p>
    <w:p w:rsidR="00FD51FA" w:rsidRPr="004B2CAE" w:rsidRDefault="00FD51FA" w:rsidP="00FD51FA">
      <w:pPr>
        <w:pStyle w:val="af6"/>
        <w:numPr>
          <w:ilvl w:val="1"/>
          <w:numId w:val="3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карту градостроительного зонирования Правил землепользования и застройки Приволжского городского поселения в части территориальных зон по ул. Костромская и ул. </w:t>
      </w:r>
      <w:proofErr w:type="spellStart"/>
      <w:r>
        <w:rPr>
          <w:bCs/>
          <w:sz w:val="28"/>
          <w:szCs w:val="28"/>
        </w:rPr>
        <w:t>Льнянщиков</w:t>
      </w:r>
      <w:proofErr w:type="spellEnd"/>
      <w:r>
        <w:rPr>
          <w:bCs/>
          <w:sz w:val="28"/>
          <w:szCs w:val="28"/>
        </w:rPr>
        <w:t xml:space="preserve"> г. Приволжска (Ж-2. Зоны малоэтажной смешанной жилой застройки; Ж-3. Зоны многоэтажной жилой застройки; К. Зоны территорий коммунально-складских объектов) согласно приложению №2 к настоящему решению.</w:t>
      </w:r>
    </w:p>
    <w:bookmarkEnd w:id="2"/>
    <w:p w:rsidR="00E845E0" w:rsidRDefault="00E845E0" w:rsidP="00E845E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845E0">
        <w:rPr>
          <w:rFonts w:ascii="Times New Roman" w:hAnsi="Times New Roman" w:cs="Times New Roman"/>
          <w:color w:val="000000"/>
          <w:sz w:val="28"/>
        </w:rPr>
        <w:t>2.  </w:t>
      </w:r>
      <w:r w:rsidRPr="00E845E0">
        <w:rPr>
          <w:rFonts w:ascii="Times New Roman" w:hAnsi="Times New Roman" w:cs="Times New Roman"/>
          <w:sz w:val="28"/>
        </w:rPr>
        <w:t>Разместить настоящее решение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</w:t>
      </w:r>
    </w:p>
    <w:p w:rsidR="00A96667" w:rsidRPr="00EE45D8" w:rsidRDefault="00523F5C" w:rsidP="00EE45D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5C">
        <w:rPr>
          <w:rFonts w:ascii="Times New Roman" w:hAnsi="Times New Roman" w:cs="Times New Roman"/>
          <w:sz w:val="28"/>
        </w:rPr>
        <w:t xml:space="preserve">3. </w:t>
      </w:r>
      <w:r w:rsidRPr="00523F5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  <w:bookmarkEnd w:id="3"/>
    </w:p>
    <w:p w:rsidR="00A96667" w:rsidRPr="004F37DE" w:rsidRDefault="00A96667" w:rsidP="00A966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37DE">
        <w:rPr>
          <w:rFonts w:ascii="Times New Roman" w:hAnsi="Times New Roman" w:cs="Times New Roman"/>
          <w:sz w:val="28"/>
        </w:rPr>
        <w:t xml:space="preserve">Глава Приволжского </w:t>
      </w:r>
    </w:p>
    <w:p w:rsidR="003F5C24" w:rsidRPr="00EE45D8" w:rsidRDefault="0043019F" w:rsidP="00EE45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37DE">
        <w:rPr>
          <w:rFonts w:ascii="Times New Roman" w:hAnsi="Times New Roman" w:cs="Times New Roman"/>
          <w:sz w:val="28"/>
        </w:rPr>
        <w:t>г</w:t>
      </w:r>
      <w:r w:rsidR="00A96667" w:rsidRPr="004F37DE">
        <w:rPr>
          <w:rFonts w:ascii="Times New Roman" w:hAnsi="Times New Roman" w:cs="Times New Roman"/>
          <w:sz w:val="28"/>
        </w:rPr>
        <w:t xml:space="preserve">ородского поселения                                                                           </w:t>
      </w:r>
      <w:r w:rsidR="0029081E" w:rsidRPr="004F37DE">
        <w:rPr>
          <w:rFonts w:ascii="Times New Roman" w:hAnsi="Times New Roman" w:cs="Times New Roman"/>
          <w:sz w:val="28"/>
        </w:rPr>
        <w:t>И.Л. Астафьева</w:t>
      </w:r>
    </w:p>
    <w:p w:rsidR="003F5C24" w:rsidRPr="003F5C24" w:rsidRDefault="003F5C24" w:rsidP="003F5C24">
      <w:pPr>
        <w:spacing w:after="0"/>
        <w:ind w:left="-426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5C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к решению Совета </w:t>
      </w:r>
    </w:p>
    <w:p w:rsidR="003F5C24" w:rsidRPr="003F5C24" w:rsidRDefault="003F5C24" w:rsidP="003F5C24">
      <w:pPr>
        <w:spacing w:after="0"/>
        <w:ind w:left="-426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5C24">
        <w:rPr>
          <w:rFonts w:ascii="Times New Roman" w:hAnsi="Times New Roman" w:cs="Times New Roman"/>
          <w:bCs/>
          <w:sz w:val="28"/>
          <w:szCs w:val="28"/>
        </w:rPr>
        <w:t xml:space="preserve">Приволжского городского поселения </w:t>
      </w:r>
    </w:p>
    <w:p w:rsidR="003F5C24" w:rsidRPr="003F5C24" w:rsidRDefault="003F5C24" w:rsidP="003F5C24">
      <w:pPr>
        <w:spacing w:after="0"/>
        <w:ind w:left="-426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F5C2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E45D8">
        <w:rPr>
          <w:rFonts w:ascii="Times New Roman" w:hAnsi="Times New Roman" w:cs="Times New Roman"/>
          <w:bCs/>
          <w:sz w:val="28"/>
          <w:szCs w:val="28"/>
        </w:rPr>
        <w:t>28</w:t>
      </w:r>
      <w:r w:rsidRPr="003F5C24">
        <w:rPr>
          <w:rFonts w:ascii="Times New Roman" w:hAnsi="Times New Roman" w:cs="Times New Roman"/>
          <w:bCs/>
          <w:sz w:val="28"/>
          <w:szCs w:val="28"/>
        </w:rPr>
        <w:t xml:space="preserve">.09.2022 № </w:t>
      </w:r>
      <w:r w:rsidR="00EE45D8">
        <w:rPr>
          <w:rFonts w:ascii="Times New Roman" w:hAnsi="Times New Roman" w:cs="Times New Roman"/>
          <w:bCs/>
          <w:sz w:val="28"/>
          <w:szCs w:val="28"/>
        </w:rPr>
        <w:t>48</w:t>
      </w:r>
      <w:r w:rsidRPr="003F5C2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3F5C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F5C24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proofErr w:type="gramEnd"/>
    </w:p>
    <w:p w:rsidR="003F5C24" w:rsidRPr="003F5C24" w:rsidRDefault="003F5C24" w:rsidP="003F5C24">
      <w:pPr>
        <w:spacing w:after="0"/>
        <w:ind w:left="-426" w:firstLine="709"/>
        <w:rPr>
          <w:rFonts w:ascii="Times New Roman" w:hAnsi="Times New Roman" w:cs="Times New Roman"/>
          <w:b/>
        </w:rPr>
      </w:pPr>
    </w:p>
    <w:p w:rsidR="003F5C24" w:rsidRPr="003F5C24" w:rsidRDefault="003F5C24" w:rsidP="003F5C24">
      <w:pPr>
        <w:spacing w:after="0"/>
        <w:ind w:left="-426" w:firstLine="709"/>
        <w:rPr>
          <w:rFonts w:ascii="Times New Roman" w:hAnsi="Times New Roman" w:cs="Times New Roman"/>
          <w:b/>
        </w:rPr>
      </w:pPr>
      <w:r w:rsidRPr="003F5C24">
        <w:rPr>
          <w:rFonts w:ascii="Times New Roman" w:hAnsi="Times New Roman" w:cs="Times New Roman"/>
          <w:b/>
        </w:rPr>
        <w:t>Основные виды разрешенного использования:</w:t>
      </w:r>
    </w:p>
    <w:tbl>
      <w:tblPr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427"/>
        <w:gridCol w:w="2782"/>
      </w:tblGrid>
      <w:tr w:rsidR="003F5C24" w:rsidRPr="00453BE8" w:rsidTr="00955AE8">
        <w:tc>
          <w:tcPr>
            <w:tcW w:w="2127" w:type="dxa"/>
            <w:shd w:val="clear" w:color="auto" w:fill="auto"/>
          </w:tcPr>
          <w:p w:rsidR="003F5C24" w:rsidRPr="00453BE8" w:rsidRDefault="003F5C24" w:rsidP="00955AE8">
            <w:pPr>
              <w:jc w:val="center"/>
            </w:pPr>
            <w:r w:rsidRPr="00453BE8">
              <w:t>Наименование вида разрешенного использования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3F5C24" w:rsidRPr="00453BE8" w:rsidRDefault="003F5C24" w:rsidP="00955AE8">
            <w:pPr>
              <w:jc w:val="center"/>
            </w:pPr>
            <w:r w:rsidRPr="00453BE8"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3427" w:type="dxa"/>
            <w:shd w:val="clear" w:color="auto" w:fill="auto"/>
          </w:tcPr>
          <w:p w:rsidR="003F5C24" w:rsidRPr="00453BE8" w:rsidRDefault="003F5C24" w:rsidP="00955AE8">
            <w:pPr>
              <w:jc w:val="center"/>
            </w:pPr>
            <w:r w:rsidRPr="00453BE8">
              <w:t>Описание вида разрешенного использования земельного участка</w:t>
            </w:r>
          </w:p>
        </w:tc>
        <w:tc>
          <w:tcPr>
            <w:tcW w:w="2782" w:type="dxa"/>
            <w:shd w:val="clear" w:color="auto" w:fill="auto"/>
          </w:tcPr>
          <w:p w:rsidR="003F5C24" w:rsidRPr="00453BE8" w:rsidRDefault="003F5C24" w:rsidP="00955AE8">
            <w:pPr>
              <w:jc w:val="center"/>
            </w:pPr>
            <w:r w:rsidRPr="00453BE8">
              <w:t>Параметры разрешенного строительства, реконструкции</w:t>
            </w:r>
          </w:p>
        </w:tc>
      </w:tr>
      <w:tr w:rsidR="003F5C24" w:rsidRPr="00453BE8" w:rsidTr="00955AE8">
        <w:tc>
          <w:tcPr>
            <w:tcW w:w="2127" w:type="dxa"/>
            <w:shd w:val="clear" w:color="auto" w:fill="auto"/>
          </w:tcPr>
          <w:p w:rsidR="003F5C24" w:rsidRPr="00453BE8" w:rsidRDefault="003F5C24" w:rsidP="00955AE8">
            <w:r w:rsidRPr="00453BE8"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3F5C24" w:rsidRPr="00453BE8" w:rsidRDefault="003F5C24" w:rsidP="00955AE8">
            <w:r w:rsidRPr="00453BE8">
              <w:t>2.1</w:t>
            </w:r>
          </w:p>
        </w:tc>
        <w:tc>
          <w:tcPr>
            <w:tcW w:w="3427" w:type="dxa"/>
            <w:shd w:val="clear" w:color="auto" w:fill="auto"/>
          </w:tcPr>
          <w:p w:rsidR="003F5C24" w:rsidRPr="00453BE8" w:rsidRDefault="003F5C24" w:rsidP="00955AE8">
            <w:pPr>
              <w:pStyle w:val="ConsPlusNormal"/>
              <w:jc w:val="both"/>
              <w:rPr>
                <w:rFonts w:eastAsia="Calibri"/>
              </w:rPr>
            </w:pPr>
            <w:r w:rsidRPr="00453BE8">
              <w:rPr>
                <w:rFonts w:eastAsia="Calibri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F5C24" w:rsidRPr="00453BE8" w:rsidRDefault="003F5C24" w:rsidP="00955AE8"/>
        </w:tc>
        <w:tc>
          <w:tcPr>
            <w:tcW w:w="2782" w:type="dxa"/>
            <w:shd w:val="clear" w:color="auto" w:fill="auto"/>
          </w:tcPr>
          <w:p w:rsidR="003F5C24" w:rsidRPr="00453BE8" w:rsidRDefault="003F5C24" w:rsidP="00955AE8">
            <w:bookmarkStart w:id="4" w:name="_Hlk26784717"/>
            <w:r w:rsidRPr="00453BE8">
              <w:t>Максимальный процент застройки в границах земельного участка - 40%. Минимальный процент озеленения в границах земельного участка - 20%.</w:t>
            </w:r>
          </w:p>
          <w:bookmarkEnd w:id="4"/>
          <w:p w:rsidR="003F5C24" w:rsidRDefault="003F5C24" w:rsidP="00955AE8">
            <w:r w:rsidRPr="00453BE8">
              <w:t xml:space="preserve">Площадь земельного участка 400 – </w:t>
            </w:r>
            <w:r>
              <w:t>1200</w:t>
            </w:r>
            <w:r w:rsidRPr="00453BE8">
              <w:t xml:space="preserve"> м</w:t>
            </w:r>
            <w:r w:rsidRPr="00453BE8">
              <w:rPr>
                <w:vertAlign w:val="superscript"/>
              </w:rPr>
              <w:t>2</w:t>
            </w:r>
          </w:p>
          <w:p w:rsidR="003F5C24" w:rsidRPr="005F310E" w:rsidRDefault="003F5C24" w:rsidP="00955AE8">
            <w:r w:rsidRPr="005F310E">
              <w:t>(не распространяется на ранее учтенные земельные участки)</w:t>
            </w:r>
          </w:p>
        </w:tc>
      </w:tr>
      <w:tr w:rsidR="003F5C24" w:rsidRPr="00453BE8" w:rsidTr="00955AE8">
        <w:tc>
          <w:tcPr>
            <w:tcW w:w="2127" w:type="dxa"/>
            <w:shd w:val="clear" w:color="auto" w:fill="auto"/>
          </w:tcPr>
          <w:p w:rsidR="003F5C24" w:rsidRPr="00453BE8" w:rsidRDefault="003F5C24" w:rsidP="00955AE8">
            <w:r w:rsidRPr="00453BE8">
              <w:t>Малоэтажная многоквартирная жилая застройка</w:t>
            </w:r>
          </w:p>
        </w:tc>
        <w:tc>
          <w:tcPr>
            <w:tcW w:w="1701" w:type="dxa"/>
            <w:shd w:val="clear" w:color="auto" w:fill="auto"/>
          </w:tcPr>
          <w:p w:rsidR="003F5C24" w:rsidRPr="00453BE8" w:rsidRDefault="003F5C24" w:rsidP="00955AE8">
            <w:r w:rsidRPr="00453BE8">
              <w:t>2.1.1</w:t>
            </w:r>
          </w:p>
        </w:tc>
        <w:tc>
          <w:tcPr>
            <w:tcW w:w="3427" w:type="dxa"/>
            <w:shd w:val="clear" w:color="auto" w:fill="auto"/>
          </w:tcPr>
          <w:p w:rsidR="003F5C24" w:rsidRPr="00453BE8" w:rsidRDefault="003F5C24" w:rsidP="00955AE8">
            <w:pPr>
              <w:pStyle w:val="ConsPlusNormal"/>
              <w:jc w:val="both"/>
              <w:rPr>
                <w:rFonts w:eastAsia="Calibri"/>
              </w:rPr>
            </w:pPr>
            <w:r w:rsidRPr="00453BE8">
              <w:rPr>
                <w:rFonts w:eastAsia="Calibri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F5C24" w:rsidRPr="00453BE8" w:rsidRDefault="003F5C24" w:rsidP="00955AE8">
            <w:pPr>
              <w:pStyle w:val="ConsPlusNormal"/>
              <w:jc w:val="both"/>
              <w:rPr>
                <w:rFonts w:eastAsia="Calibri"/>
              </w:rPr>
            </w:pPr>
            <w:r w:rsidRPr="00453BE8">
              <w:rPr>
                <w:rFonts w:eastAsia="Calibri"/>
              </w:rPr>
              <w:t>обустройство спортивных и детских площадок, площадок для отдыха;</w:t>
            </w:r>
          </w:p>
          <w:p w:rsidR="003F5C24" w:rsidRPr="00453BE8" w:rsidRDefault="003F5C24" w:rsidP="00955AE8">
            <w:pPr>
              <w:pStyle w:val="ConsPlusNormal"/>
              <w:jc w:val="both"/>
              <w:rPr>
                <w:rFonts w:eastAsia="Calibri"/>
              </w:rPr>
            </w:pPr>
            <w:r w:rsidRPr="00453BE8"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10% общей площади помещений дома</w:t>
            </w:r>
          </w:p>
        </w:tc>
        <w:tc>
          <w:tcPr>
            <w:tcW w:w="2782" w:type="dxa"/>
            <w:shd w:val="clear" w:color="auto" w:fill="auto"/>
          </w:tcPr>
          <w:p w:rsidR="003F5C24" w:rsidRPr="00453BE8" w:rsidRDefault="003F5C24" w:rsidP="00955AE8">
            <w:r w:rsidRPr="00453BE8">
              <w:t>Максимальный процент застройки в границах земельного участка - 50%. Минимальный процент озеленения в границах земельного участка - 10%</w:t>
            </w:r>
          </w:p>
        </w:tc>
      </w:tr>
      <w:tr w:rsidR="003F5C24" w:rsidRPr="00453BE8" w:rsidTr="00955AE8">
        <w:tc>
          <w:tcPr>
            <w:tcW w:w="2127" w:type="dxa"/>
            <w:shd w:val="clear" w:color="auto" w:fill="auto"/>
          </w:tcPr>
          <w:p w:rsidR="003F5C24" w:rsidRPr="00453BE8" w:rsidRDefault="003F5C24" w:rsidP="00955AE8">
            <w:r w:rsidRPr="00453BE8">
              <w:lastRenderedPageBreak/>
              <w:t>Блокированная жилая застройка</w:t>
            </w:r>
          </w:p>
        </w:tc>
        <w:tc>
          <w:tcPr>
            <w:tcW w:w="1701" w:type="dxa"/>
            <w:shd w:val="clear" w:color="auto" w:fill="auto"/>
          </w:tcPr>
          <w:p w:rsidR="003F5C24" w:rsidRPr="00453BE8" w:rsidRDefault="003F5C24" w:rsidP="00955AE8">
            <w:r w:rsidRPr="00453BE8">
              <w:t>2.3</w:t>
            </w:r>
          </w:p>
        </w:tc>
        <w:tc>
          <w:tcPr>
            <w:tcW w:w="3427" w:type="dxa"/>
            <w:shd w:val="clear" w:color="auto" w:fill="auto"/>
          </w:tcPr>
          <w:p w:rsidR="003F5C24" w:rsidRPr="00453BE8" w:rsidRDefault="003F5C24" w:rsidP="00955AE8">
            <w:pPr>
              <w:pStyle w:val="ConsPlusNormal"/>
              <w:jc w:val="both"/>
              <w:rPr>
                <w:rFonts w:eastAsia="Calibri"/>
              </w:rPr>
            </w:pPr>
            <w:r w:rsidRPr="00453BE8">
              <w:rPr>
                <w:rFonts w:eastAsia="Calibri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F5C24" w:rsidRPr="00453BE8" w:rsidRDefault="003F5C24" w:rsidP="00955AE8"/>
        </w:tc>
        <w:tc>
          <w:tcPr>
            <w:tcW w:w="2782" w:type="dxa"/>
            <w:shd w:val="clear" w:color="auto" w:fill="auto"/>
          </w:tcPr>
          <w:p w:rsidR="003F5C24" w:rsidRPr="00453BE8" w:rsidRDefault="003F5C24" w:rsidP="00955AE8">
            <w:r w:rsidRPr="00453BE8">
              <w:t>Максимальный процент застройки в границах земельного участка - 50%. Минимальный процент озеленения в границах земельного участка - 20%.</w:t>
            </w:r>
          </w:p>
          <w:p w:rsidR="003F5C24" w:rsidRDefault="003F5C24" w:rsidP="00955AE8">
            <w:r w:rsidRPr="00453BE8">
              <w:t xml:space="preserve">Площадь земельного участка до </w:t>
            </w:r>
            <w:r>
              <w:t>6</w:t>
            </w:r>
            <w:r w:rsidRPr="00453BE8">
              <w:t>00 м</w:t>
            </w:r>
            <w:r w:rsidRPr="00453BE8">
              <w:rPr>
                <w:vertAlign w:val="superscript"/>
              </w:rPr>
              <w:t>2</w:t>
            </w:r>
          </w:p>
          <w:p w:rsidR="003F5C24" w:rsidRPr="005F310E" w:rsidRDefault="003F5C24" w:rsidP="00955AE8">
            <w:r w:rsidRPr="005F310E">
              <w:t>(не распространяется на ранее учтенные земельные участки)</w:t>
            </w:r>
          </w:p>
        </w:tc>
      </w:tr>
      <w:tr w:rsidR="003F5C24" w:rsidRPr="00453BE8" w:rsidTr="00955AE8">
        <w:tc>
          <w:tcPr>
            <w:tcW w:w="2127" w:type="dxa"/>
            <w:shd w:val="clear" w:color="auto" w:fill="auto"/>
          </w:tcPr>
          <w:p w:rsidR="003F5C24" w:rsidRPr="00453BE8" w:rsidRDefault="003F5C24" w:rsidP="00955AE8">
            <w:r w:rsidRPr="00453BE8">
              <w:t>Земельные участки (территории) 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3F5C24" w:rsidRPr="00453BE8" w:rsidRDefault="003F5C24" w:rsidP="00955AE8">
            <w:r w:rsidRPr="00453BE8">
              <w:t>12.0</w:t>
            </w:r>
          </w:p>
        </w:tc>
        <w:tc>
          <w:tcPr>
            <w:tcW w:w="3427" w:type="dxa"/>
            <w:shd w:val="clear" w:color="auto" w:fill="auto"/>
          </w:tcPr>
          <w:p w:rsidR="003F5C24" w:rsidRPr="00453BE8" w:rsidRDefault="003F5C24" w:rsidP="00955AE8">
            <w:pPr>
              <w:pStyle w:val="ConsPlusNormal"/>
              <w:jc w:val="both"/>
              <w:rPr>
                <w:rFonts w:eastAsia="Calibri"/>
              </w:rPr>
            </w:pPr>
            <w:r w:rsidRPr="00453BE8">
              <w:rPr>
                <w:rFonts w:eastAsia="Calibri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453BE8">
                <w:rPr>
                  <w:rFonts w:eastAsia="Calibri"/>
                  <w:color w:val="0000FF"/>
                </w:rPr>
                <w:t>кодами 12.0.1</w:t>
              </w:r>
            </w:hyperlink>
            <w:r w:rsidRPr="00453BE8">
              <w:rPr>
                <w:rFonts w:eastAsia="Calibri"/>
              </w:rPr>
              <w:t xml:space="preserve"> - </w:t>
            </w:r>
            <w:hyperlink w:anchor="Par668" w:tooltip="12.0.2" w:history="1">
              <w:r w:rsidRPr="00453BE8">
                <w:rPr>
                  <w:rFonts w:eastAsia="Calibri"/>
                  <w:color w:val="0000FF"/>
                </w:rPr>
                <w:t>12.0.2</w:t>
              </w:r>
            </w:hyperlink>
            <w:r w:rsidRPr="00453BE8">
              <w:rPr>
                <w:rFonts w:eastAsia="Calibri"/>
              </w:rPr>
              <w:t xml:space="preserve"> Приказа Минэкономразвития России от 01.09.2014 № 540.</w:t>
            </w:r>
          </w:p>
        </w:tc>
        <w:tc>
          <w:tcPr>
            <w:tcW w:w="2782" w:type="dxa"/>
            <w:shd w:val="clear" w:color="auto" w:fill="auto"/>
          </w:tcPr>
          <w:p w:rsidR="003F5C24" w:rsidRPr="00453BE8" w:rsidRDefault="003F5C24" w:rsidP="00955AE8">
            <w:r w:rsidRPr="00453BE8">
              <w:rPr>
                <w:lang w:eastAsia="en-US"/>
              </w:rPr>
              <w:t>Максимальный процент застройки не подлежит установлению</w:t>
            </w:r>
          </w:p>
          <w:p w:rsidR="003F5C24" w:rsidRPr="00453BE8" w:rsidRDefault="003F5C24" w:rsidP="00955AE8"/>
        </w:tc>
      </w:tr>
      <w:tr w:rsidR="003F5C24" w:rsidRPr="00453BE8" w:rsidTr="00955AE8">
        <w:tc>
          <w:tcPr>
            <w:tcW w:w="2127" w:type="dxa"/>
            <w:shd w:val="clear" w:color="auto" w:fill="auto"/>
          </w:tcPr>
          <w:p w:rsidR="003F5C24" w:rsidRPr="00453BE8" w:rsidRDefault="003F5C24" w:rsidP="00955AE8">
            <w:r w:rsidRPr="00453BE8">
              <w:t>Улично-дорожная сеть</w:t>
            </w:r>
          </w:p>
        </w:tc>
        <w:tc>
          <w:tcPr>
            <w:tcW w:w="1701" w:type="dxa"/>
            <w:shd w:val="clear" w:color="auto" w:fill="auto"/>
          </w:tcPr>
          <w:p w:rsidR="003F5C24" w:rsidRPr="00453BE8" w:rsidRDefault="003F5C24" w:rsidP="00955AE8">
            <w:r w:rsidRPr="00453BE8">
              <w:t>12.0.1</w:t>
            </w:r>
          </w:p>
        </w:tc>
        <w:tc>
          <w:tcPr>
            <w:tcW w:w="3427" w:type="dxa"/>
            <w:shd w:val="clear" w:color="auto" w:fill="auto"/>
          </w:tcPr>
          <w:p w:rsidR="003F5C24" w:rsidRPr="00453BE8" w:rsidRDefault="003F5C24" w:rsidP="00955AE8">
            <w:pPr>
              <w:pStyle w:val="ConsPlusNormal"/>
              <w:jc w:val="both"/>
              <w:rPr>
                <w:rFonts w:eastAsia="Calibri"/>
              </w:rPr>
            </w:pPr>
            <w:r w:rsidRPr="00453BE8">
              <w:rPr>
                <w:rFonts w:eastAsia="Calibri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53BE8">
              <w:rPr>
                <w:rFonts w:eastAsia="Calibri"/>
              </w:rPr>
              <w:t>велотранспортной</w:t>
            </w:r>
            <w:proofErr w:type="spellEnd"/>
            <w:r w:rsidRPr="00453BE8">
              <w:rPr>
                <w:rFonts w:eastAsia="Calibri"/>
              </w:rPr>
              <w:t xml:space="preserve"> и инженерной инфраструктуры;</w:t>
            </w:r>
          </w:p>
          <w:p w:rsidR="003F5C24" w:rsidRPr="00453BE8" w:rsidRDefault="003F5C24" w:rsidP="00955AE8">
            <w:r w:rsidRPr="00453BE8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453BE8">
                <w:rPr>
                  <w:color w:val="0000FF"/>
                </w:rPr>
                <w:t>кодами 2.7.1</w:t>
              </w:r>
            </w:hyperlink>
            <w:r w:rsidRPr="00453BE8">
              <w:t xml:space="preserve">, </w:t>
            </w:r>
            <w:hyperlink w:anchor="Par382" w:tooltip="4.9" w:history="1">
              <w:r w:rsidRPr="00453BE8">
                <w:rPr>
                  <w:color w:val="0000FF"/>
                </w:rPr>
                <w:t>4.9</w:t>
              </w:r>
            </w:hyperlink>
            <w:r w:rsidRPr="00453BE8">
              <w:t xml:space="preserve">, </w:t>
            </w:r>
            <w:hyperlink w:anchor="Par567" w:tooltip="7.2.3" w:history="1">
              <w:r w:rsidRPr="00453BE8">
                <w:rPr>
                  <w:color w:val="0000FF"/>
                </w:rPr>
                <w:t>7.2.3</w:t>
              </w:r>
            </w:hyperlink>
            <w:r w:rsidRPr="00453BE8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782" w:type="dxa"/>
            <w:shd w:val="clear" w:color="auto" w:fill="auto"/>
          </w:tcPr>
          <w:p w:rsidR="003F5C24" w:rsidRPr="00453BE8" w:rsidRDefault="003F5C24" w:rsidP="00955AE8">
            <w:r w:rsidRPr="00453BE8">
              <w:rPr>
                <w:lang w:eastAsia="en-US"/>
              </w:rPr>
              <w:t>Максимальный процент застройки не подлежит установлению</w:t>
            </w:r>
          </w:p>
          <w:p w:rsidR="003F5C24" w:rsidRPr="00453BE8" w:rsidRDefault="003F5C24" w:rsidP="00955AE8"/>
        </w:tc>
      </w:tr>
      <w:tr w:rsidR="003F5C24" w:rsidRPr="00453BE8" w:rsidTr="00955AE8">
        <w:tc>
          <w:tcPr>
            <w:tcW w:w="2127" w:type="dxa"/>
            <w:shd w:val="clear" w:color="auto" w:fill="auto"/>
          </w:tcPr>
          <w:p w:rsidR="003F5C24" w:rsidRPr="00453BE8" w:rsidRDefault="003F5C24" w:rsidP="00955AE8">
            <w:r w:rsidRPr="00453BE8">
              <w:lastRenderedPageBreak/>
              <w:t>Благоустройство территории</w:t>
            </w:r>
          </w:p>
        </w:tc>
        <w:tc>
          <w:tcPr>
            <w:tcW w:w="1701" w:type="dxa"/>
            <w:shd w:val="clear" w:color="auto" w:fill="auto"/>
          </w:tcPr>
          <w:p w:rsidR="003F5C24" w:rsidRPr="00453BE8" w:rsidRDefault="003F5C24" w:rsidP="00955AE8">
            <w:r w:rsidRPr="00453BE8">
              <w:t>12.0.2</w:t>
            </w:r>
          </w:p>
          <w:p w:rsidR="003F5C24" w:rsidRPr="00453BE8" w:rsidRDefault="003F5C24" w:rsidP="00955AE8"/>
        </w:tc>
        <w:tc>
          <w:tcPr>
            <w:tcW w:w="3427" w:type="dxa"/>
            <w:shd w:val="clear" w:color="auto" w:fill="auto"/>
          </w:tcPr>
          <w:p w:rsidR="003F5C24" w:rsidRPr="00453BE8" w:rsidRDefault="003F5C24" w:rsidP="00955AE8">
            <w:pPr>
              <w:pStyle w:val="ConsPlusNormal"/>
              <w:jc w:val="both"/>
              <w:rPr>
                <w:rFonts w:eastAsia="Calibri"/>
              </w:rPr>
            </w:pPr>
            <w:r w:rsidRPr="00453BE8">
              <w:rPr>
                <w:rFonts w:eastAsia="Calibri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782" w:type="dxa"/>
            <w:shd w:val="clear" w:color="auto" w:fill="auto"/>
          </w:tcPr>
          <w:p w:rsidR="003F5C24" w:rsidRPr="00453BE8" w:rsidRDefault="003F5C24" w:rsidP="00955AE8">
            <w:r w:rsidRPr="00453BE8">
              <w:rPr>
                <w:lang w:eastAsia="en-US"/>
              </w:rPr>
              <w:t>Максимальный процент застройки не подлежит установлению</w:t>
            </w:r>
          </w:p>
          <w:p w:rsidR="003F5C24" w:rsidRPr="00453BE8" w:rsidRDefault="003F5C24" w:rsidP="00955AE8"/>
        </w:tc>
      </w:tr>
    </w:tbl>
    <w:p w:rsidR="003F5C24" w:rsidRDefault="003F5C24" w:rsidP="003F5C24"/>
    <w:p w:rsidR="003F5C24" w:rsidRDefault="003F5C24" w:rsidP="00E8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5C24" w:rsidRDefault="003F5C2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3F5C24" w:rsidRDefault="003F5C24" w:rsidP="003F5C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№2к решению Совета</w:t>
      </w:r>
    </w:p>
    <w:p w:rsidR="003F5C24" w:rsidRDefault="003F5C24" w:rsidP="003F5C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Приволжского городского поселения</w:t>
      </w:r>
    </w:p>
    <w:p w:rsidR="004F37DE" w:rsidRPr="004F37DE" w:rsidRDefault="003F5C24" w:rsidP="003F5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EE45D8">
        <w:rPr>
          <w:rFonts w:ascii="Times New Roman" w:hAnsi="Times New Roman" w:cs="Times New Roman"/>
          <w:sz w:val="28"/>
        </w:rPr>
        <w:t>28.</w:t>
      </w:r>
      <w:r>
        <w:rPr>
          <w:rFonts w:ascii="Times New Roman" w:hAnsi="Times New Roman" w:cs="Times New Roman"/>
          <w:sz w:val="28"/>
        </w:rPr>
        <w:t>09.2022 №</w:t>
      </w:r>
      <w:r w:rsidR="00EE45D8">
        <w:rPr>
          <w:rFonts w:ascii="Times New Roman" w:hAnsi="Times New Roman" w:cs="Times New Roman"/>
          <w:sz w:val="28"/>
        </w:rPr>
        <w:t xml:space="preserve"> 48</w:t>
      </w:r>
      <w:r w:rsidRPr="00C87996">
        <w:rPr>
          <w:rFonts w:ascii="Times New Roman" w:hAnsi="Times New Roman" w:cs="Times New Roman"/>
          <w:color w:val="FFFFFF" w:themeColor="background1"/>
          <w:sz w:val="28"/>
        </w:rPr>
        <w:t xml:space="preserve">_______ </w:t>
      </w:r>
      <w:r>
        <w:rPr>
          <w:rFonts w:ascii="Times New Roman" w:hAnsi="Times New Roman" w:cs="Times New Roman"/>
          <w:sz w:val="28"/>
        </w:rPr>
        <w:t xml:space="preserve">     </w:t>
      </w:r>
      <w:bookmarkStart w:id="5" w:name="_MON_1725447560"/>
      <w:bookmarkEnd w:id="5"/>
      <w:r>
        <w:rPr>
          <w:rFonts w:ascii="Times New Roman" w:hAnsi="Times New Roman" w:cs="Times New Roman"/>
          <w:sz w:val="28"/>
        </w:rP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2.5pt" o:ole="">
            <v:imagedata r:id="rId7" o:title=""/>
          </v:shape>
          <o:OLEObject Type="Embed" ProgID="Word.Document.12" ShapeID="_x0000_i1026" DrawAspect="Content" ObjectID="_1725859606" r:id="rId8">
            <o:FieldCodes>\s</o:FieldCodes>
          </o:OLEObject>
        </w:objec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A874E75" wp14:editId="03D99A27">
            <wp:extent cx="6257925" cy="6629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26" cy="664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7DE" w:rsidRPr="004F37DE" w:rsidSect="001267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3DD"/>
    <w:multiLevelType w:val="hybridMultilevel"/>
    <w:tmpl w:val="1CB0E9CE"/>
    <w:lvl w:ilvl="0" w:tplc="62C4581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4A3515"/>
    <w:multiLevelType w:val="hybridMultilevel"/>
    <w:tmpl w:val="993AB20A"/>
    <w:lvl w:ilvl="0" w:tplc="05DC39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B3059C"/>
    <w:multiLevelType w:val="hybridMultilevel"/>
    <w:tmpl w:val="E6E0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2FE"/>
    <w:multiLevelType w:val="hybridMultilevel"/>
    <w:tmpl w:val="9B12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397"/>
    <w:multiLevelType w:val="hybridMultilevel"/>
    <w:tmpl w:val="994EBD50"/>
    <w:lvl w:ilvl="0" w:tplc="445E5A7C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B35920"/>
    <w:multiLevelType w:val="hybridMultilevel"/>
    <w:tmpl w:val="C2282C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E6582"/>
    <w:multiLevelType w:val="hybridMultilevel"/>
    <w:tmpl w:val="747C3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73F70"/>
    <w:multiLevelType w:val="hybridMultilevel"/>
    <w:tmpl w:val="94FCF1B4"/>
    <w:lvl w:ilvl="0" w:tplc="5906CB66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25667045"/>
    <w:multiLevelType w:val="hybridMultilevel"/>
    <w:tmpl w:val="CD5E331C"/>
    <w:lvl w:ilvl="0" w:tplc="D3C61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95676BB"/>
    <w:multiLevelType w:val="hybridMultilevel"/>
    <w:tmpl w:val="D5604CE0"/>
    <w:lvl w:ilvl="0" w:tplc="A64C62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12526"/>
    <w:multiLevelType w:val="hybridMultilevel"/>
    <w:tmpl w:val="C6CC0EA8"/>
    <w:lvl w:ilvl="0" w:tplc="FD1CC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5F7B67"/>
    <w:multiLevelType w:val="hybridMultilevel"/>
    <w:tmpl w:val="D8A6DD74"/>
    <w:lvl w:ilvl="0" w:tplc="AE5C9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446B9A"/>
    <w:multiLevelType w:val="hybridMultilevel"/>
    <w:tmpl w:val="C7A4745A"/>
    <w:lvl w:ilvl="0" w:tplc="FD08B0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F3D40"/>
    <w:multiLevelType w:val="hybridMultilevel"/>
    <w:tmpl w:val="FA94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96E9A"/>
    <w:multiLevelType w:val="hybridMultilevel"/>
    <w:tmpl w:val="8978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A552E"/>
    <w:multiLevelType w:val="hybridMultilevel"/>
    <w:tmpl w:val="61A0A5D6"/>
    <w:lvl w:ilvl="0" w:tplc="8C761A0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7C0421"/>
    <w:multiLevelType w:val="hybridMultilevel"/>
    <w:tmpl w:val="1C264EE2"/>
    <w:lvl w:ilvl="0" w:tplc="C470AA3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C395D"/>
    <w:multiLevelType w:val="hybridMultilevel"/>
    <w:tmpl w:val="DD8257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ED6360"/>
    <w:multiLevelType w:val="hybridMultilevel"/>
    <w:tmpl w:val="5F0011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36195B"/>
    <w:multiLevelType w:val="hybridMultilevel"/>
    <w:tmpl w:val="AD8C82F6"/>
    <w:lvl w:ilvl="0" w:tplc="F57AD3D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5D0FB8"/>
    <w:multiLevelType w:val="hybridMultilevel"/>
    <w:tmpl w:val="386E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27779"/>
    <w:multiLevelType w:val="hybridMultilevel"/>
    <w:tmpl w:val="423C615C"/>
    <w:lvl w:ilvl="0" w:tplc="A5542E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2E6EBB"/>
    <w:multiLevelType w:val="multilevel"/>
    <w:tmpl w:val="94E23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55166FE4"/>
    <w:multiLevelType w:val="hybridMultilevel"/>
    <w:tmpl w:val="EFD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61E8B"/>
    <w:multiLevelType w:val="hybridMultilevel"/>
    <w:tmpl w:val="E21E5C7C"/>
    <w:lvl w:ilvl="0" w:tplc="FAFAD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8C7BC1"/>
    <w:multiLevelType w:val="hybridMultilevel"/>
    <w:tmpl w:val="4AB4549A"/>
    <w:lvl w:ilvl="0" w:tplc="C638E4A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A3C55B5"/>
    <w:multiLevelType w:val="hybridMultilevel"/>
    <w:tmpl w:val="B7CEE1E2"/>
    <w:lvl w:ilvl="0" w:tplc="CD301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D04106"/>
    <w:multiLevelType w:val="multilevel"/>
    <w:tmpl w:val="9C4E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D175C"/>
    <w:multiLevelType w:val="hybridMultilevel"/>
    <w:tmpl w:val="B6AEB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3D6218F"/>
    <w:multiLevelType w:val="hybridMultilevel"/>
    <w:tmpl w:val="4C86010C"/>
    <w:lvl w:ilvl="0" w:tplc="41A611AC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5E4022B"/>
    <w:multiLevelType w:val="hybridMultilevel"/>
    <w:tmpl w:val="1C264EE2"/>
    <w:lvl w:ilvl="0" w:tplc="C470AA34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3412F"/>
    <w:multiLevelType w:val="hybridMultilevel"/>
    <w:tmpl w:val="186072DA"/>
    <w:lvl w:ilvl="0" w:tplc="98F0B1F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6"/>
  </w:num>
  <w:num w:numId="5">
    <w:abstractNumId w:val="17"/>
  </w:num>
  <w:num w:numId="6">
    <w:abstractNumId w:val="13"/>
  </w:num>
  <w:num w:numId="7">
    <w:abstractNumId w:val="9"/>
  </w:num>
  <w:num w:numId="8">
    <w:abstractNumId w:val="31"/>
  </w:num>
  <w:num w:numId="9">
    <w:abstractNumId w:val="3"/>
  </w:num>
  <w:num w:numId="10">
    <w:abstractNumId w:val="16"/>
  </w:num>
  <w:num w:numId="11">
    <w:abstractNumId w:val="30"/>
  </w:num>
  <w:num w:numId="12">
    <w:abstractNumId w:val="23"/>
  </w:num>
  <w:num w:numId="13">
    <w:abstractNumId w:val="4"/>
  </w:num>
  <w:num w:numId="14">
    <w:abstractNumId w:val="20"/>
  </w:num>
  <w:num w:numId="15">
    <w:abstractNumId w:val="26"/>
  </w:num>
  <w:num w:numId="16">
    <w:abstractNumId w:val="0"/>
  </w:num>
  <w:num w:numId="17">
    <w:abstractNumId w:val="15"/>
  </w:num>
  <w:num w:numId="18">
    <w:abstractNumId w:val="21"/>
  </w:num>
  <w:num w:numId="19">
    <w:abstractNumId w:val="24"/>
  </w:num>
  <w:num w:numId="20">
    <w:abstractNumId w:val="11"/>
  </w:num>
  <w:num w:numId="21">
    <w:abstractNumId w:val="18"/>
  </w:num>
  <w:num w:numId="22">
    <w:abstractNumId w:val="7"/>
  </w:num>
  <w:num w:numId="23">
    <w:abstractNumId w:val="5"/>
  </w:num>
  <w:num w:numId="24">
    <w:abstractNumId w:val="19"/>
  </w:num>
  <w:num w:numId="25">
    <w:abstractNumId w:val="29"/>
  </w:num>
  <w:num w:numId="26">
    <w:abstractNumId w:val="8"/>
  </w:num>
  <w:num w:numId="27">
    <w:abstractNumId w:val="1"/>
  </w:num>
  <w:num w:numId="28">
    <w:abstractNumId w:val="12"/>
  </w:num>
  <w:num w:numId="29">
    <w:abstractNumId w:val="10"/>
  </w:num>
  <w:num w:numId="30">
    <w:abstractNumId w:val="25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92"/>
    <w:rsid w:val="000029FA"/>
    <w:rsid w:val="000421E2"/>
    <w:rsid w:val="000442E3"/>
    <w:rsid w:val="000C610A"/>
    <w:rsid w:val="001012EE"/>
    <w:rsid w:val="001267C5"/>
    <w:rsid w:val="00217298"/>
    <w:rsid w:val="002237E1"/>
    <w:rsid w:val="0029081E"/>
    <w:rsid w:val="002A786F"/>
    <w:rsid w:val="003F5C24"/>
    <w:rsid w:val="0043019F"/>
    <w:rsid w:val="004F37DE"/>
    <w:rsid w:val="005221CB"/>
    <w:rsid w:val="00523F5C"/>
    <w:rsid w:val="00621FB8"/>
    <w:rsid w:val="0066385A"/>
    <w:rsid w:val="006671DF"/>
    <w:rsid w:val="006769A8"/>
    <w:rsid w:val="006E6FD6"/>
    <w:rsid w:val="007308F4"/>
    <w:rsid w:val="00781E08"/>
    <w:rsid w:val="0079573A"/>
    <w:rsid w:val="00990943"/>
    <w:rsid w:val="009C0452"/>
    <w:rsid w:val="00A00097"/>
    <w:rsid w:val="00A80363"/>
    <w:rsid w:val="00A96667"/>
    <w:rsid w:val="00AB6C96"/>
    <w:rsid w:val="00AF00C0"/>
    <w:rsid w:val="00B5384E"/>
    <w:rsid w:val="00B83CC9"/>
    <w:rsid w:val="00BE4892"/>
    <w:rsid w:val="00D02048"/>
    <w:rsid w:val="00D604CC"/>
    <w:rsid w:val="00D77E23"/>
    <w:rsid w:val="00E4385D"/>
    <w:rsid w:val="00E845E0"/>
    <w:rsid w:val="00EE45D8"/>
    <w:rsid w:val="00F33418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2FA7"/>
  <w15:docId w15:val="{ADD5B976-4D15-493B-97BC-67946AD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7DE"/>
    <w:pPr>
      <w:keepNext/>
      <w:keepLines/>
      <w:pageBreakBefore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7DE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37DE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37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7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37D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ConsPlusTitle">
    <w:name w:val="ConsPlusTitle"/>
    <w:rsid w:val="004F3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Знак1 Знак Знак Знак"/>
    <w:basedOn w:val="a"/>
    <w:rsid w:val="004F37DE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Default">
    <w:name w:val="Default"/>
    <w:rsid w:val="004F3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rsid w:val="004F37D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4F37DE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4F37DE"/>
    <w:rPr>
      <w:color w:val="0000FF"/>
      <w:u w:val="single"/>
    </w:rPr>
  </w:style>
  <w:style w:type="paragraph" w:customStyle="1" w:styleId="a8">
    <w:basedOn w:val="a"/>
    <w:next w:val="a4"/>
    <w:uiPriority w:val="99"/>
    <w:unhideWhenUsed/>
    <w:rsid w:val="004F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rsid w:val="004F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F37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4F37DE"/>
    <w:rPr>
      <w:rFonts w:ascii="Times New Roman" w:eastAsia="Calibri" w:hAnsi="Times New Roman" w:cs="Times New Roman"/>
      <w:sz w:val="28"/>
      <w:szCs w:val="24"/>
      <w:lang w:val="x-none"/>
    </w:rPr>
  </w:style>
  <w:style w:type="paragraph" w:styleId="ac">
    <w:name w:val="footer"/>
    <w:basedOn w:val="a"/>
    <w:link w:val="ad"/>
    <w:uiPriority w:val="99"/>
    <w:unhideWhenUsed/>
    <w:rsid w:val="004F37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4F37DE"/>
    <w:rPr>
      <w:rFonts w:ascii="Times New Roman" w:eastAsia="Calibri" w:hAnsi="Times New Roman" w:cs="Times New Roman"/>
      <w:sz w:val="28"/>
      <w:szCs w:val="24"/>
      <w:lang w:val="x-none"/>
    </w:rPr>
  </w:style>
  <w:style w:type="paragraph" w:styleId="ae">
    <w:name w:val="No Spacing"/>
    <w:link w:val="af"/>
    <w:uiPriority w:val="1"/>
    <w:qFormat/>
    <w:rsid w:val="004F37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rsid w:val="004F37DE"/>
    <w:rPr>
      <w:rFonts w:ascii="Calibri" w:eastAsia="Times New Roman" w:hAnsi="Calibri" w:cs="Times New Roman"/>
      <w:lang w:eastAsia="en-US"/>
    </w:rPr>
  </w:style>
  <w:style w:type="table" w:styleId="af0">
    <w:name w:val="Table Grid"/>
    <w:basedOn w:val="a1"/>
    <w:uiPriority w:val="59"/>
    <w:rsid w:val="004F37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autoRedefine/>
    <w:uiPriority w:val="39"/>
    <w:unhideWhenUsed/>
    <w:rsid w:val="004F37DE"/>
    <w:pPr>
      <w:spacing w:before="120" w:after="120" w:line="240" w:lineRule="auto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F37DE"/>
    <w:pPr>
      <w:spacing w:after="0" w:line="240" w:lineRule="auto"/>
      <w:ind w:left="240"/>
    </w:pPr>
    <w:rPr>
      <w:rFonts w:ascii="Calibri" w:eastAsia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F37DE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4F37DE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F37DE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F37DE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F37DE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F37DE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F37DE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4F37DE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4F37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37DE"/>
    <w:pPr>
      <w:spacing w:line="276" w:lineRule="auto"/>
      <w:jc w:val="left"/>
      <w:outlineLvl w:val="9"/>
    </w:pPr>
    <w:rPr>
      <w:lang w:eastAsia="en-US"/>
    </w:rPr>
  </w:style>
  <w:style w:type="character" w:customStyle="1" w:styleId="apple-converted-space">
    <w:name w:val="apple-converted-space"/>
    <w:rsid w:val="004F37DE"/>
  </w:style>
  <w:style w:type="character" w:customStyle="1" w:styleId="af4">
    <w:name w:val="Заголовок Знак"/>
    <w:uiPriority w:val="10"/>
    <w:rsid w:val="004F37DE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PlusNormal">
    <w:name w:val="ConsPlusNormal"/>
    <w:rsid w:val="004F3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F37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Title"/>
    <w:basedOn w:val="a"/>
    <w:next w:val="a"/>
    <w:link w:val="13"/>
    <w:qFormat/>
    <w:rsid w:val="004F37D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3">
    <w:name w:val="Заголовок Знак1"/>
    <w:basedOn w:val="a0"/>
    <w:link w:val="af5"/>
    <w:rsid w:val="004F37D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6">
    <w:basedOn w:val="a"/>
    <w:next w:val="a4"/>
    <w:uiPriority w:val="99"/>
    <w:unhideWhenUsed/>
    <w:rsid w:val="00FD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Виноградова Алена Станиславовна</cp:lastModifiedBy>
  <cp:revision>3</cp:revision>
  <cp:lastPrinted>2022-09-28T05:40:00Z</cp:lastPrinted>
  <dcterms:created xsi:type="dcterms:W3CDTF">2022-09-27T09:55:00Z</dcterms:created>
  <dcterms:modified xsi:type="dcterms:W3CDTF">2022-09-28T05:40:00Z</dcterms:modified>
</cp:coreProperties>
</file>